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98BE" w14:textId="0A24A552" w:rsidR="004845B9" w:rsidRDefault="004845B9">
      <w:bookmarkStart w:id="0" w:name="_Hlk55374615"/>
      <w:bookmarkEnd w:id="0"/>
    </w:p>
    <w:p w14:paraId="3AE6E845" w14:textId="77777777" w:rsidR="00E743AF" w:rsidRDefault="00E743AF"/>
    <w:p w14:paraId="007238A0" w14:textId="38F2FF02" w:rsidR="00F21312" w:rsidRPr="00DF069E" w:rsidRDefault="00F21312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5D2DC1FF" w14:textId="466882F6" w:rsidR="00F21312" w:rsidRPr="004C1028" w:rsidRDefault="00F21312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>Lors de notre dernière lettre, nous vous conseillions d’être toujours investi sur le marché des actions.</w:t>
      </w:r>
    </w:p>
    <w:p w14:paraId="3274E452" w14:textId="46E63382" w:rsidR="00F21312" w:rsidRPr="004C1028" w:rsidRDefault="004E3E41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>Notre vision était que s</w:t>
      </w:r>
      <w:r w:rsidR="00C362F4" w:rsidRPr="004C1028">
        <w:rPr>
          <w:rFonts w:asciiTheme="majorHAnsi" w:hAnsiTheme="majorHAnsi" w:cstheme="majorHAnsi"/>
          <w:color w:val="1F3864" w:themeColor="accent1" w:themeShade="80"/>
          <w:sz w:val="22"/>
        </w:rPr>
        <w:t>i la crise sanitaire ne s’empire pas d’avantage, l</w:t>
      </w:r>
      <w:r w:rsidR="00464F0D" w:rsidRPr="004C1028">
        <w:rPr>
          <w:rFonts w:asciiTheme="majorHAnsi" w:hAnsiTheme="majorHAnsi" w:cstheme="majorHAnsi"/>
          <w:color w:val="1F3864" w:themeColor="accent1" w:themeShade="80"/>
          <w:sz w:val="22"/>
        </w:rPr>
        <w:t>es</w:t>
      </w:r>
      <w:r w:rsidR="006C4881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ba</w:t>
      </w:r>
      <w:r w:rsidR="006C3469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isses sur les marchés </w:t>
      </w:r>
      <w:r w:rsidR="00464F0D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financiers </w:t>
      </w:r>
      <w:r w:rsidR="00FE456A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seront </w:t>
      </w:r>
      <w:r w:rsidR="000E1AA0" w:rsidRPr="004C1028">
        <w:rPr>
          <w:rFonts w:asciiTheme="majorHAnsi" w:hAnsiTheme="majorHAnsi" w:cstheme="majorHAnsi"/>
          <w:color w:val="1F3864" w:themeColor="accent1" w:themeShade="80"/>
          <w:sz w:val="22"/>
        </w:rPr>
        <w:t>contenues.</w:t>
      </w:r>
      <w:r w:rsidR="00EA3ED4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</w:t>
      </w:r>
    </w:p>
    <w:p w14:paraId="52A314DE" w14:textId="556473F2" w:rsidR="004E3E41" w:rsidRPr="004C1028" w:rsidRDefault="004E3E41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09C0E8F4" w14:textId="035AFCD0" w:rsidR="004E3E41" w:rsidRPr="004C1028" w:rsidRDefault="00290110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Les marchés financiers ont connu une belle performance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depuis.</w:t>
      </w:r>
    </w:p>
    <w:p w14:paraId="17257E07" w14:textId="77777777" w:rsidR="002C38DD" w:rsidRDefault="002C38DD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581047D2" w14:textId="4CF88A92" w:rsidR="002C38DD" w:rsidRPr="00561C67" w:rsidRDefault="002375B4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  <w:r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Les </w:t>
      </w:r>
      <w:r w:rsidR="00862A1E"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trois</w:t>
      </w:r>
      <w:r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 ra</w:t>
      </w:r>
      <w:r w:rsidR="00E13AFB"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i</w:t>
      </w:r>
      <w:r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s</w:t>
      </w:r>
      <w:r w:rsidR="00E13AFB"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o</w:t>
      </w:r>
      <w:r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n</w:t>
      </w:r>
      <w:r w:rsidR="00E13AFB"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s</w:t>
      </w:r>
      <w:r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 essentielles sont</w:t>
      </w:r>
      <w:r w:rsidR="002C38DD"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 :</w:t>
      </w:r>
    </w:p>
    <w:p w14:paraId="327016CE" w14:textId="77777777" w:rsidR="002C38DD" w:rsidRDefault="002C38DD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59A49840" w14:textId="240D9492" w:rsidR="002375B4" w:rsidRPr="004C1028" w:rsidRDefault="002C38DD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>
        <w:rPr>
          <w:rFonts w:asciiTheme="majorHAnsi" w:hAnsiTheme="majorHAnsi" w:cstheme="majorHAnsi"/>
          <w:color w:val="1F3864" w:themeColor="accent1" w:themeShade="80"/>
          <w:sz w:val="22"/>
        </w:rPr>
        <w:t xml:space="preserve">1/ </w:t>
      </w:r>
      <w:r w:rsid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L’augmentation des vaccinations</w:t>
      </w:r>
      <w:r w:rsidR="003A0C2D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</w:t>
      </w:r>
      <w:r w:rsidR="002375B4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et </w:t>
      </w:r>
      <w:r w:rsidR="003A0C2D"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les</w:t>
      </w:r>
      <w:r w:rsidR="002375B4" w:rsidRPr="00561C67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 nouvelles contaminations mondiales</w:t>
      </w:r>
      <w:r w:rsidR="002375B4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liées au </w:t>
      </w:r>
      <w:r w:rsidR="006E2EB7" w:rsidRPr="004C1028">
        <w:rPr>
          <w:rFonts w:asciiTheme="majorHAnsi" w:hAnsiTheme="majorHAnsi" w:cstheme="majorHAnsi"/>
          <w:color w:val="1F3864" w:themeColor="accent1" w:themeShade="80"/>
          <w:sz w:val="22"/>
        </w:rPr>
        <w:t>Covid qui</w:t>
      </w:r>
      <w:r w:rsidR="003A0C2D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</w:t>
      </w:r>
      <w:r w:rsidR="0034000A" w:rsidRPr="0034000A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baissent</w:t>
      </w:r>
      <w:r w:rsidR="0034000A">
        <w:rPr>
          <w:rFonts w:asciiTheme="majorHAnsi" w:hAnsiTheme="majorHAnsi" w:cstheme="majorHAnsi"/>
          <w:color w:val="1F3864" w:themeColor="accent1" w:themeShade="80"/>
          <w:sz w:val="22"/>
        </w:rPr>
        <w:t xml:space="preserve"> fortement</w:t>
      </w:r>
      <w:r w:rsidR="00862A1E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(voir les graphiques ci-dessous)</w:t>
      </w:r>
      <w:r w:rsidR="002375B4" w:rsidRPr="004C1028">
        <w:rPr>
          <w:rFonts w:asciiTheme="majorHAnsi" w:hAnsiTheme="majorHAnsi" w:cstheme="majorHAnsi"/>
          <w:color w:val="1F3864" w:themeColor="accent1" w:themeShade="80"/>
          <w:sz w:val="22"/>
        </w:rPr>
        <w:t>.</w:t>
      </w:r>
    </w:p>
    <w:p w14:paraId="46CDEE7D" w14:textId="6543112B" w:rsidR="002375B4" w:rsidRDefault="002375B4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58F67DB4" w14:textId="03414F7E" w:rsidR="002375B4" w:rsidRDefault="002375B4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  <w:r>
        <w:rPr>
          <w:noProof/>
        </w:rPr>
        <w:drawing>
          <wp:inline distT="0" distB="0" distL="0" distR="0" wp14:anchorId="7B9333DE" wp14:editId="5939B41A">
            <wp:extent cx="4389120" cy="337277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5884" cy="337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34EE" w14:textId="7B243B3C" w:rsidR="002375B4" w:rsidRDefault="002375B4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380166EE" w14:textId="28D6954D" w:rsidR="002375B4" w:rsidRDefault="002375B4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13812EF8" w14:textId="77777777" w:rsidR="002C38DD" w:rsidRDefault="002C38DD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64E6FFE8" w14:textId="77777777" w:rsidR="002C38DD" w:rsidRDefault="002C38DD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317A0555" w14:textId="77777777" w:rsidR="00A939EC" w:rsidRDefault="00A939EC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68A1563D" w14:textId="77777777" w:rsidR="00A939EC" w:rsidRDefault="00A939EC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2635B7A7" w14:textId="77777777" w:rsidR="00A939EC" w:rsidRDefault="00A939EC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4B2A6079" w14:textId="767C91C5" w:rsidR="002375B4" w:rsidRDefault="002375B4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6A5E73CE" w14:textId="448D9BB3" w:rsidR="00862A1E" w:rsidRDefault="00862A1E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1B2D71BE" w14:textId="1D44C55D" w:rsidR="002C38DD" w:rsidRDefault="002C38DD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4C85FDD2" w14:textId="2234D122" w:rsidR="002C38DD" w:rsidRDefault="00A939EC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>
        <w:rPr>
          <w:noProof/>
        </w:rPr>
        <w:lastRenderedPageBreak/>
        <w:drawing>
          <wp:inline distT="0" distB="0" distL="0" distR="0" wp14:anchorId="5F47C2B7" wp14:editId="5F05DD9D">
            <wp:extent cx="4390749" cy="33528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2891" cy="33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ED282" w14:textId="77777777" w:rsidR="00A939EC" w:rsidRDefault="00A939EC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075040ED" w14:textId="77777777" w:rsidR="00A939EC" w:rsidRDefault="00A939EC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079AF128" w14:textId="1F48354E" w:rsidR="00862A1E" w:rsidRPr="004C1028" w:rsidRDefault="000820ED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>
        <w:rPr>
          <w:rFonts w:asciiTheme="majorHAnsi" w:hAnsiTheme="majorHAnsi" w:cstheme="majorHAnsi"/>
          <w:color w:val="1F3864" w:themeColor="accent1" w:themeShade="80"/>
          <w:sz w:val="22"/>
        </w:rPr>
        <w:t xml:space="preserve">2/ </w:t>
      </w:r>
      <w:r w:rsidRPr="0034000A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Le</w:t>
      </w:r>
      <w:r w:rsidR="00862A1E" w:rsidRPr="0034000A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 fort rebond de la croissance mondiale</w:t>
      </w:r>
      <w:r w:rsidR="00E64429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</w:t>
      </w:r>
      <w:proofErr w:type="gramStart"/>
      <w:r w:rsidR="00E64429" w:rsidRPr="004C1028">
        <w:rPr>
          <w:rFonts w:asciiTheme="majorHAnsi" w:hAnsiTheme="majorHAnsi" w:cstheme="majorHAnsi"/>
          <w:color w:val="1F3864" w:themeColor="accent1" w:themeShade="80"/>
          <w:sz w:val="22"/>
        </w:rPr>
        <w:t>( le</w:t>
      </w:r>
      <w:proofErr w:type="gramEnd"/>
      <w:r w:rsidR="00E64429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premier g</w:t>
      </w:r>
      <w:r w:rsidR="00B873BC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raphique </w:t>
      </w:r>
      <w:r w:rsidR="00A443AB">
        <w:rPr>
          <w:rFonts w:asciiTheme="majorHAnsi" w:hAnsiTheme="majorHAnsi" w:cstheme="majorHAnsi"/>
          <w:color w:val="1F3864" w:themeColor="accent1" w:themeShade="80"/>
          <w:sz w:val="22"/>
        </w:rPr>
        <w:t>représente la croissance du PIB aux</w:t>
      </w:r>
      <w:r w:rsidR="00B873BC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états unis et le second </w:t>
      </w:r>
      <w:r w:rsidR="00F500A7">
        <w:rPr>
          <w:rFonts w:asciiTheme="majorHAnsi" w:hAnsiTheme="majorHAnsi" w:cstheme="majorHAnsi"/>
          <w:color w:val="1F3864" w:themeColor="accent1" w:themeShade="80"/>
          <w:sz w:val="22"/>
        </w:rPr>
        <w:t xml:space="preserve">de </w:t>
      </w:r>
      <w:r w:rsidR="00B873BC" w:rsidRPr="004C1028">
        <w:rPr>
          <w:rFonts w:asciiTheme="majorHAnsi" w:hAnsiTheme="majorHAnsi" w:cstheme="majorHAnsi"/>
          <w:color w:val="1F3864" w:themeColor="accent1" w:themeShade="80"/>
          <w:sz w:val="22"/>
        </w:rPr>
        <w:t>la zone européenne)</w:t>
      </w:r>
    </w:p>
    <w:p w14:paraId="54187B94" w14:textId="4A49AC6A" w:rsidR="000B47D4" w:rsidRDefault="000B47D4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07683B93" w14:textId="0916A1D2" w:rsidR="000B47D4" w:rsidRDefault="000B47D4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  <w:r>
        <w:rPr>
          <w:noProof/>
        </w:rPr>
        <w:drawing>
          <wp:inline distT="0" distB="0" distL="0" distR="0" wp14:anchorId="7BACE5C6" wp14:editId="60B33B9B">
            <wp:extent cx="4351020" cy="3007104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0189" cy="301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AF6F" w14:textId="00390D5F" w:rsidR="00E64429" w:rsidRDefault="00E64429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27C29309" w14:textId="7E3E9E6D" w:rsidR="00E64429" w:rsidRDefault="00E64429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  <w:r>
        <w:rPr>
          <w:noProof/>
        </w:rPr>
        <w:lastRenderedPageBreak/>
        <w:drawing>
          <wp:inline distT="0" distB="0" distL="0" distR="0" wp14:anchorId="4350BA27" wp14:editId="2666C77C">
            <wp:extent cx="4299938" cy="2971800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2931" cy="297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D481F" w14:textId="77777777" w:rsidR="00862A1E" w:rsidRDefault="00862A1E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11BBA5A7" w14:textId="77777777" w:rsidR="000820ED" w:rsidRDefault="000820ED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1089D0BD" w14:textId="3A8FA964" w:rsidR="00EB1DFA" w:rsidRPr="004C1028" w:rsidRDefault="000820ED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>
        <w:rPr>
          <w:rFonts w:asciiTheme="majorHAnsi" w:hAnsiTheme="majorHAnsi" w:cstheme="majorHAnsi"/>
          <w:color w:val="1F3864" w:themeColor="accent1" w:themeShade="80"/>
          <w:sz w:val="22"/>
        </w:rPr>
        <w:t xml:space="preserve">3/ </w:t>
      </w:r>
      <w:r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L</w:t>
      </w:r>
      <w:r w:rsidR="008F3B1E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a baisse des taux d’</w:t>
      </w:r>
      <w:r w:rsidR="006E2EB7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intérêt</w:t>
      </w:r>
      <w:r w:rsidR="008F3B1E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 </w:t>
      </w:r>
      <w:r w:rsidR="006E2EB7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US (</w:t>
      </w:r>
      <w:r w:rsidR="00EB1DFA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10 ans).</w:t>
      </w:r>
    </w:p>
    <w:p w14:paraId="54A1584E" w14:textId="75F415B2" w:rsidR="00290110" w:rsidRPr="004C1028" w:rsidRDefault="00290110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>Les taux qui étaient la principale inquiétude des marchés à court terme on</w:t>
      </w:r>
      <w:r w:rsidR="006C404C" w:rsidRPr="004C1028">
        <w:rPr>
          <w:rFonts w:asciiTheme="majorHAnsi" w:hAnsiTheme="majorHAnsi" w:cstheme="majorHAnsi"/>
          <w:color w:val="1F3864" w:themeColor="accent1" w:themeShade="80"/>
          <w:sz w:val="22"/>
        </w:rPr>
        <w:t>t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reflué pour s’établir autour de 1,</w:t>
      </w:r>
      <w:r w:rsidR="004471B6" w:rsidRPr="004C1028">
        <w:rPr>
          <w:rFonts w:asciiTheme="majorHAnsi" w:hAnsiTheme="majorHAnsi" w:cstheme="majorHAnsi"/>
          <w:color w:val="1F3864" w:themeColor="accent1" w:themeShade="80"/>
          <w:sz w:val="22"/>
        </w:rPr>
        <w:t>4</w:t>
      </w:r>
      <w:r w:rsidR="00114EA7" w:rsidRPr="004C1028">
        <w:rPr>
          <w:rFonts w:asciiTheme="majorHAnsi" w:hAnsiTheme="majorHAnsi" w:cstheme="majorHAnsi"/>
          <w:color w:val="1F3864" w:themeColor="accent1" w:themeShade="80"/>
          <w:sz w:val="22"/>
        </w:rPr>
        <w:t>8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>% pour le 10 ans américain</w:t>
      </w:r>
      <w:r w:rsidR="006C404C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contre 1,75% au plus haut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>.</w:t>
      </w:r>
    </w:p>
    <w:p w14:paraId="25AFBD46" w14:textId="77777777" w:rsidR="00290110" w:rsidRDefault="00290110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17D06904" w14:textId="1BD16EF7" w:rsidR="00290110" w:rsidRDefault="00114EA7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  <w:r>
        <w:rPr>
          <w:noProof/>
        </w:rPr>
        <w:drawing>
          <wp:inline distT="0" distB="0" distL="0" distR="0" wp14:anchorId="4C9AB12D" wp14:editId="4B696A2C">
            <wp:extent cx="4299585" cy="2152636"/>
            <wp:effectExtent l="0" t="0" r="5715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2514" cy="215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138F" w14:textId="77777777" w:rsidR="00290110" w:rsidRDefault="00290110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61E6D45A" w14:textId="77777777" w:rsidR="00290110" w:rsidRDefault="00290110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0D5027E7" w14:textId="1486BF03" w:rsidR="001540F6" w:rsidRPr="004C1028" w:rsidRDefault="00290110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Cette baisse des taux a permis, à court terme, de freiner la </w:t>
      </w:r>
      <w:r w:rsidR="006E2EB7" w:rsidRPr="004C1028">
        <w:rPr>
          <w:rFonts w:asciiTheme="majorHAnsi" w:hAnsiTheme="majorHAnsi" w:cstheme="majorHAnsi"/>
          <w:color w:val="1F3864" w:themeColor="accent1" w:themeShade="80"/>
          <w:sz w:val="22"/>
        </w:rPr>
        <w:t>réallocation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sectorielle des va</w:t>
      </w:r>
      <w:r w:rsidR="009B602E" w:rsidRPr="004C1028">
        <w:rPr>
          <w:rFonts w:asciiTheme="majorHAnsi" w:hAnsiTheme="majorHAnsi" w:cstheme="majorHAnsi"/>
          <w:color w:val="1F3864" w:themeColor="accent1" w:themeShade="80"/>
          <w:sz w:val="22"/>
        </w:rPr>
        <w:t>le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urs de croissance vers les </w:t>
      </w:r>
      <w:r w:rsidR="00E5476D">
        <w:rPr>
          <w:rFonts w:asciiTheme="majorHAnsi" w:hAnsiTheme="majorHAnsi" w:cstheme="majorHAnsi"/>
          <w:color w:val="1F3864" w:themeColor="accent1" w:themeShade="80"/>
          <w:sz w:val="22"/>
        </w:rPr>
        <w:t xml:space="preserve">valeurs 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>value</w:t>
      </w:r>
      <w:r w:rsidR="00E5476D">
        <w:rPr>
          <w:rFonts w:asciiTheme="majorHAnsi" w:hAnsiTheme="majorHAnsi" w:cstheme="majorHAnsi"/>
          <w:color w:val="1F3864" w:themeColor="accent1" w:themeShade="80"/>
          <w:sz w:val="22"/>
        </w:rPr>
        <w:t>s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. En effet, depuis quelques semaines, les valeurs technologiques et en particulier le Nasdaq ont connu une hausse plus importante que </w:t>
      </w:r>
      <w:r w:rsidR="006E2EB7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les valeurs </w:t>
      </w:r>
      <w:r w:rsidR="00561C67">
        <w:rPr>
          <w:rFonts w:asciiTheme="majorHAnsi" w:hAnsiTheme="majorHAnsi" w:cstheme="majorHAnsi"/>
          <w:color w:val="1F3864" w:themeColor="accent1" w:themeShade="80"/>
          <w:sz w:val="22"/>
        </w:rPr>
        <w:t>de la vieille économie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>.</w:t>
      </w:r>
    </w:p>
    <w:p w14:paraId="7CCA4DE0" w14:textId="781A8807" w:rsidR="00290110" w:rsidRPr="004C1028" w:rsidRDefault="00290110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2CE165E9" w14:textId="21280CD3" w:rsidR="00290110" w:rsidRPr="00A443AB" w:rsidRDefault="00290110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  <w:r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Nous pensons </w:t>
      </w:r>
      <w:r w:rsidR="00467F52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que</w:t>
      </w:r>
      <w:r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 les bonnes </w:t>
      </w:r>
      <w:r w:rsidR="008333AC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nouvelles sont </w:t>
      </w:r>
      <w:r w:rsidR="00916E5A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désormais </w:t>
      </w:r>
      <w:r w:rsidR="008333AC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en grande partie </w:t>
      </w:r>
      <w:r w:rsidR="009B602E"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 xml:space="preserve">dans </w:t>
      </w:r>
      <w:r w:rsidRPr="00A443AB"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les cours.</w:t>
      </w:r>
    </w:p>
    <w:p w14:paraId="7E44FB5C" w14:textId="77777777" w:rsidR="00561C67" w:rsidRDefault="00561C67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429B75FA" w14:textId="77777777" w:rsidR="00561C67" w:rsidRDefault="00561C67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51F0A43A" w14:textId="77777777" w:rsidR="00561C67" w:rsidRDefault="00561C67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025AE19A" w14:textId="77777777" w:rsidR="00561C67" w:rsidRDefault="00561C67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16072175" w14:textId="77777777" w:rsidR="00561C67" w:rsidRDefault="00561C67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7B9A8F46" w14:textId="19A60C05" w:rsidR="00290110" w:rsidRPr="004C1028" w:rsidRDefault="00290110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Nous ne voyons pas de hausse </w:t>
      </w:r>
      <w:r w:rsidR="00F500A7">
        <w:rPr>
          <w:rFonts w:asciiTheme="majorHAnsi" w:hAnsiTheme="majorHAnsi" w:cstheme="majorHAnsi"/>
          <w:color w:val="1F3864" w:themeColor="accent1" w:themeShade="80"/>
          <w:sz w:val="22"/>
        </w:rPr>
        <w:t>importante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</w:t>
      </w:r>
      <w:r w:rsidR="00467F52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des marchés actions </w:t>
      </w:r>
      <w:r w:rsidR="0077662A" w:rsidRPr="004C1028">
        <w:rPr>
          <w:rFonts w:asciiTheme="majorHAnsi" w:hAnsiTheme="majorHAnsi" w:cstheme="majorHAnsi"/>
          <w:color w:val="1F3864" w:themeColor="accent1" w:themeShade="80"/>
          <w:sz w:val="22"/>
        </w:rPr>
        <w:t>à court terme</w:t>
      </w: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>.</w:t>
      </w:r>
      <w:r w:rsidR="009B602E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Cependant, nous n’envisageons pas à ce jour de modifier de </w:t>
      </w:r>
      <w:r w:rsidR="006E2EB7" w:rsidRPr="004C1028">
        <w:rPr>
          <w:rFonts w:asciiTheme="majorHAnsi" w:hAnsiTheme="majorHAnsi" w:cstheme="majorHAnsi"/>
          <w:color w:val="1F3864" w:themeColor="accent1" w:themeShade="80"/>
          <w:sz w:val="22"/>
        </w:rPr>
        <w:t>manière</w:t>
      </w:r>
      <w:r w:rsidR="009B602E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</w:t>
      </w:r>
      <w:r w:rsidR="004D2528" w:rsidRPr="004C1028">
        <w:rPr>
          <w:rFonts w:asciiTheme="majorHAnsi" w:hAnsiTheme="majorHAnsi" w:cstheme="majorHAnsi"/>
          <w:color w:val="1F3864" w:themeColor="accent1" w:themeShade="80"/>
          <w:sz w:val="22"/>
        </w:rPr>
        <w:t>signif</w:t>
      </w:r>
      <w:r w:rsidR="00A14D91" w:rsidRPr="004C1028">
        <w:rPr>
          <w:rFonts w:asciiTheme="majorHAnsi" w:hAnsiTheme="majorHAnsi" w:cstheme="majorHAnsi"/>
          <w:color w:val="1F3864" w:themeColor="accent1" w:themeShade="80"/>
          <w:sz w:val="22"/>
        </w:rPr>
        <w:t>icative</w:t>
      </w:r>
      <w:r w:rsidR="008820D3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nos allocations d’actifs, en effet, le </w:t>
      </w:r>
      <w:r w:rsidR="006E2EB7" w:rsidRPr="004C1028">
        <w:rPr>
          <w:rFonts w:asciiTheme="majorHAnsi" w:hAnsiTheme="majorHAnsi" w:cstheme="majorHAnsi"/>
          <w:color w:val="1F3864" w:themeColor="accent1" w:themeShade="80"/>
          <w:sz w:val="22"/>
        </w:rPr>
        <w:t>stock</w:t>
      </w:r>
      <w:r w:rsidR="008820D3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picking, ou choix </w:t>
      </w:r>
      <w:r w:rsidR="006E2EB7" w:rsidRPr="004C1028">
        <w:rPr>
          <w:rFonts w:asciiTheme="majorHAnsi" w:hAnsiTheme="majorHAnsi" w:cstheme="majorHAnsi"/>
          <w:color w:val="1F3864" w:themeColor="accent1" w:themeShade="80"/>
          <w:sz w:val="22"/>
        </w:rPr>
        <w:t>d’investir</w:t>
      </w:r>
      <w:r w:rsidR="008820D3"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 dans certaines actions sera </w:t>
      </w:r>
      <w:r w:rsidR="00A31113" w:rsidRPr="004C1028">
        <w:rPr>
          <w:rFonts w:asciiTheme="majorHAnsi" w:hAnsiTheme="majorHAnsi" w:cstheme="majorHAnsi"/>
          <w:color w:val="1F3864" w:themeColor="accent1" w:themeShade="80"/>
          <w:sz w:val="22"/>
        </w:rPr>
        <w:t>le principal objectif pour bénéficier de rendement intéressant.</w:t>
      </w:r>
    </w:p>
    <w:p w14:paraId="54860B04" w14:textId="35618C5E" w:rsidR="00A31113" w:rsidRDefault="00A31113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2E4ACD52" w14:textId="35F68BE7" w:rsidR="00D66485" w:rsidRDefault="00CF4350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  <w:r w:rsidRPr="004C1028">
        <w:rPr>
          <w:rFonts w:asciiTheme="majorHAnsi" w:hAnsiTheme="majorHAnsi" w:cstheme="majorHAnsi"/>
          <w:color w:val="1F3864" w:themeColor="accent1" w:themeShade="80"/>
          <w:sz w:val="22"/>
        </w:rPr>
        <w:t xml:space="preserve">Les fonds dans lesquels nous avons investi ont fait preuve ces dernières années d’une véritable expertise en la </w:t>
      </w:r>
      <w:r w:rsidR="006E2EB7" w:rsidRPr="004C1028">
        <w:rPr>
          <w:rFonts w:asciiTheme="majorHAnsi" w:hAnsiTheme="majorHAnsi" w:cstheme="majorHAnsi"/>
          <w:color w:val="1F3864" w:themeColor="accent1" w:themeShade="80"/>
          <w:sz w:val="22"/>
        </w:rPr>
        <w:t>matière</w:t>
      </w:r>
      <w:r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  <w:t>.</w:t>
      </w:r>
    </w:p>
    <w:p w14:paraId="70E8C2FF" w14:textId="2C8DB64F" w:rsidR="00290110" w:rsidRDefault="00290110" w:rsidP="004845B9">
      <w:pPr>
        <w:pStyle w:val="Contenu"/>
        <w:rPr>
          <w:rFonts w:asciiTheme="majorHAnsi" w:hAnsiTheme="majorHAnsi" w:cstheme="majorHAnsi"/>
          <w:b/>
          <w:bCs/>
          <w:color w:val="1F3864" w:themeColor="accent1" w:themeShade="80"/>
          <w:sz w:val="22"/>
        </w:rPr>
      </w:pPr>
    </w:p>
    <w:p w14:paraId="4787F060" w14:textId="38521819" w:rsidR="001540F6" w:rsidRDefault="001540F6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663E60C6" w14:textId="1219ADF7" w:rsidR="005F4CF0" w:rsidRDefault="005F4CF0" w:rsidP="004845B9">
      <w:pPr>
        <w:pStyle w:val="Contenu"/>
        <w:rPr>
          <w:rFonts w:asciiTheme="majorHAnsi" w:hAnsiTheme="majorHAnsi" w:cstheme="majorHAnsi"/>
          <w:color w:val="1F3864" w:themeColor="accent1" w:themeShade="80"/>
          <w:sz w:val="22"/>
        </w:rPr>
      </w:pPr>
    </w:p>
    <w:p w14:paraId="6E7D719E" w14:textId="3863C448" w:rsidR="00741E24" w:rsidRDefault="004C2D06">
      <w:pPr>
        <w:rPr>
          <w:rFonts w:asciiTheme="majorHAnsi" w:hAnsiTheme="majorHAnsi" w:cstheme="majorHAnsi"/>
          <w:b/>
          <w:bCs/>
          <w:u w:val="single"/>
        </w:rPr>
      </w:pPr>
      <w:r w:rsidRPr="004C2D06">
        <w:rPr>
          <w:rFonts w:asciiTheme="majorHAnsi" w:hAnsiTheme="majorHAnsi" w:cstheme="majorHAnsi"/>
          <w:b/>
          <w:bCs/>
          <w:u w:val="single"/>
        </w:rPr>
        <w:t>Nos allocations d’actifs type :</w:t>
      </w:r>
    </w:p>
    <w:p w14:paraId="6AF2B3DF" w14:textId="77777777" w:rsidR="0045568D" w:rsidRPr="004C2D06" w:rsidRDefault="0045568D">
      <w:pPr>
        <w:rPr>
          <w:rFonts w:asciiTheme="majorHAnsi" w:hAnsiTheme="majorHAnsi" w:cstheme="majorHAnsi"/>
          <w:b/>
          <w:bCs/>
          <w:u w:val="single"/>
        </w:rPr>
      </w:pPr>
    </w:p>
    <w:p w14:paraId="391FC03C" w14:textId="14612FB9" w:rsidR="00E86549" w:rsidRDefault="00E8654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F069E">
        <w:rPr>
          <w:rFonts w:asciiTheme="majorHAnsi" w:hAnsiTheme="majorHAnsi" w:cstheme="majorHAnsi"/>
          <w:b/>
          <w:bCs/>
          <w:sz w:val="24"/>
          <w:szCs w:val="24"/>
          <w:u w:val="single"/>
        </w:rPr>
        <w:t>-Allocation prudente</w:t>
      </w:r>
    </w:p>
    <w:p w14:paraId="6F708DFE" w14:textId="4C04358B" w:rsidR="0045568D" w:rsidRDefault="0045568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8870177" w14:textId="6BE21287" w:rsidR="0045568D" w:rsidRDefault="0045568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AEDBAE7" wp14:editId="54FFACD1">
            <wp:extent cx="4263041" cy="2506980"/>
            <wp:effectExtent l="0" t="0" r="4445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2195" cy="251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69BB" w14:textId="0E6CF295" w:rsidR="00B40601" w:rsidRDefault="00B4060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4A2EC83" w14:textId="3E06CC30" w:rsidR="00B40601" w:rsidRPr="00DF069E" w:rsidRDefault="004B5F85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5D42242" wp14:editId="712FADB8">
            <wp:extent cx="5760720" cy="1193165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092D" w14:textId="712AE394" w:rsidR="00863EF3" w:rsidRPr="00DF069E" w:rsidRDefault="00863EF3">
      <w:pPr>
        <w:rPr>
          <w:rFonts w:asciiTheme="majorHAnsi" w:hAnsiTheme="majorHAnsi" w:cstheme="majorHAnsi"/>
        </w:rPr>
      </w:pPr>
    </w:p>
    <w:p w14:paraId="1970EC30" w14:textId="1C21B585" w:rsidR="00276272" w:rsidRPr="00DF069E" w:rsidRDefault="00276272">
      <w:pPr>
        <w:rPr>
          <w:rFonts w:asciiTheme="majorHAnsi" w:hAnsiTheme="majorHAnsi" w:cstheme="majorHAnsi"/>
        </w:rPr>
      </w:pPr>
    </w:p>
    <w:p w14:paraId="543D7F1D" w14:textId="15699576" w:rsidR="00276272" w:rsidRPr="00DF069E" w:rsidRDefault="00276272">
      <w:pPr>
        <w:rPr>
          <w:rFonts w:asciiTheme="majorHAnsi" w:hAnsiTheme="majorHAnsi" w:cstheme="majorHAnsi"/>
        </w:rPr>
      </w:pPr>
    </w:p>
    <w:p w14:paraId="59730281" w14:textId="01C5FE45" w:rsidR="009E4059" w:rsidRDefault="009E4059">
      <w:pPr>
        <w:rPr>
          <w:rFonts w:asciiTheme="majorHAnsi" w:hAnsiTheme="majorHAnsi" w:cstheme="majorHAnsi"/>
          <w:noProof/>
        </w:rPr>
      </w:pPr>
    </w:p>
    <w:p w14:paraId="23B8490D" w14:textId="43A64058" w:rsidR="00E679C5" w:rsidRDefault="00CF401C">
      <w:pPr>
        <w:rPr>
          <w:rFonts w:asciiTheme="majorHAnsi" w:hAnsiTheme="majorHAnsi" w:cstheme="majorHAnsi"/>
          <w:noProof/>
        </w:rPr>
      </w:pPr>
      <w:r>
        <w:rPr>
          <w:noProof/>
        </w:rPr>
        <w:lastRenderedPageBreak/>
        <w:drawing>
          <wp:inline distT="0" distB="0" distL="0" distR="0" wp14:anchorId="5BFF3FFE" wp14:editId="64A6193A">
            <wp:extent cx="5760720" cy="54038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D8B6" w14:textId="66154806" w:rsidR="00E679C5" w:rsidRPr="00DF069E" w:rsidRDefault="00E679C5">
      <w:pPr>
        <w:rPr>
          <w:rFonts w:asciiTheme="majorHAnsi" w:hAnsiTheme="majorHAnsi" w:cstheme="majorHAnsi"/>
        </w:rPr>
      </w:pPr>
    </w:p>
    <w:p w14:paraId="5BD0F8FF" w14:textId="763E72C7" w:rsidR="00E86549" w:rsidRPr="00DF069E" w:rsidRDefault="00E8654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F069E">
        <w:rPr>
          <w:rFonts w:asciiTheme="majorHAnsi" w:hAnsiTheme="majorHAnsi" w:cstheme="majorHAnsi"/>
          <w:b/>
          <w:bCs/>
          <w:sz w:val="24"/>
          <w:szCs w:val="24"/>
          <w:u w:val="single"/>
        </w:rPr>
        <w:t>-Allocation équilibrée</w:t>
      </w:r>
    </w:p>
    <w:p w14:paraId="19C48922" w14:textId="23CD9FAA" w:rsidR="00D81FD9" w:rsidRPr="00DF069E" w:rsidRDefault="00D81FD9">
      <w:pPr>
        <w:rPr>
          <w:rFonts w:asciiTheme="majorHAnsi" w:hAnsiTheme="majorHAnsi" w:cstheme="majorHAnsi"/>
        </w:rPr>
      </w:pPr>
    </w:p>
    <w:p w14:paraId="76846A02" w14:textId="4E6BB57F" w:rsidR="00E86549" w:rsidRPr="00DF069E" w:rsidRDefault="00F53F60">
      <w:pPr>
        <w:rPr>
          <w:rFonts w:asciiTheme="majorHAnsi" w:hAnsiTheme="majorHAnsi" w:cstheme="majorHAnsi"/>
        </w:rPr>
      </w:pPr>
      <w:r w:rsidRPr="00DF069E">
        <w:rPr>
          <w:rFonts w:asciiTheme="majorHAnsi" w:hAnsiTheme="majorHAnsi" w:cstheme="majorHAnsi"/>
          <w:noProof/>
        </w:rPr>
        <w:drawing>
          <wp:inline distT="0" distB="0" distL="0" distR="0" wp14:anchorId="4944C271" wp14:editId="7F9A8A0F">
            <wp:extent cx="3259504" cy="18288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2998" cy="183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0E97C" w14:textId="77777777" w:rsidR="00E86549" w:rsidRPr="00DF069E" w:rsidRDefault="00E86549">
      <w:pPr>
        <w:rPr>
          <w:rFonts w:asciiTheme="majorHAnsi" w:hAnsiTheme="majorHAnsi" w:cstheme="majorHAnsi"/>
        </w:rPr>
      </w:pPr>
    </w:p>
    <w:p w14:paraId="5793FCA0" w14:textId="77777777" w:rsidR="00813B47" w:rsidRPr="00DF069E" w:rsidRDefault="00813B47">
      <w:pPr>
        <w:rPr>
          <w:rFonts w:asciiTheme="majorHAnsi" w:hAnsiTheme="majorHAnsi" w:cstheme="majorHAnsi"/>
        </w:rPr>
      </w:pPr>
    </w:p>
    <w:p w14:paraId="57A34E50" w14:textId="2EE58321" w:rsidR="00A52707" w:rsidRDefault="00A5270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6E3D347" w14:textId="77777777" w:rsidR="00A52707" w:rsidRDefault="00A5270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6B27A3C" w14:textId="151EB483" w:rsidR="00A52707" w:rsidRDefault="00CF401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FFC43B" wp14:editId="2D12C1EC">
            <wp:extent cx="5760720" cy="54038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4D45" w14:textId="77777777" w:rsidR="00A52707" w:rsidRDefault="00A5270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4D222E6" w14:textId="77777777" w:rsidR="00A52707" w:rsidRDefault="00A5270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B7492D9" w14:textId="77777777" w:rsidR="00A52707" w:rsidRDefault="00A5270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05CBD62" w14:textId="4EF14F16" w:rsidR="00A52707" w:rsidRDefault="00EF6F14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A73EBA4" wp14:editId="7151ABD0">
            <wp:extent cx="5760720" cy="1192530"/>
            <wp:effectExtent l="0" t="0" r="0" b="762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D923" w14:textId="77777777" w:rsidR="00A52707" w:rsidRDefault="00A5270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24C4017" w14:textId="77777777" w:rsidR="00CF401C" w:rsidRDefault="00CF401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8098203" w14:textId="77777777" w:rsidR="00CF401C" w:rsidRDefault="00CF401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71AD409" w14:textId="77777777" w:rsidR="00CF401C" w:rsidRDefault="00CF401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C207CA5" w14:textId="0FCD6EA8" w:rsidR="00A16FA7" w:rsidRPr="00DF069E" w:rsidRDefault="00E86549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F069E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-Allocation Dynamique</w:t>
      </w:r>
      <w:r w:rsidR="00AB3B43" w:rsidRPr="00DF069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627F5881" w14:textId="77777777" w:rsidR="00A16FA7" w:rsidRPr="00DF069E" w:rsidRDefault="00A16FA7">
      <w:pPr>
        <w:rPr>
          <w:rFonts w:asciiTheme="majorHAnsi" w:hAnsiTheme="majorHAnsi" w:cstheme="majorHAnsi"/>
        </w:rPr>
      </w:pPr>
    </w:p>
    <w:p w14:paraId="702BC508" w14:textId="22C5F449" w:rsidR="0025421B" w:rsidRPr="00DF069E" w:rsidRDefault="00025CAB">
      <w:pPr>
        <w:rPr>
          <w:rFonts w:asciiTheme="majorHAnsi" w:hAnsiTheme="majorHAnsi" w:cstheme="majorHAnsi"/>
        </w:rPr>
      </w:pPr>
      <w:r w:rsidRPr="00DF069E">
        <w:rPr>
          <w:rFonts w:asciiTheme="majorHAnsi" w:hAnsiTheme="majorHAnsi" w:cstheme="majorHAnsi"/>
          <w:noProof/>
        </w:rPr>
        <w:drawing>
          <wp:inline distT="0" distB="0" distL="0" distR="0" wp14:anchorId="1F396AFD" wp14:editId="31B4EB43">
            <wp:extent cx="3551193" cy="2051957"/>
            <wp:effectExtent l="0" t="0" r="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0753" cy="205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A298" w14:textId="77777777" w:rsidR="0025421B" w:rsidRPr="00DF069E" w:rsidRDefault="0025421B">
      <w:pPr>
        <w:rPr>
          <w:rFonts w:asciiTheme="majorHAnsi" w:hAnsiTheme="majorHAnsi" w:cstheme="majorHAnsi"/>
        </w:rPr>
      </w:pPr>
    </w:p>
    <w:p w14:paraId="682F4C8D" w14:textId="4C1B09A4" w:rsidR="00CF401C" w:rsidRDefault="00D54152">
      <w:r>
        <w:rPr>
          <w:noProof/>
        </w:rPr>
        <w:drawing>
          <wp:inline distT="0" distB="0" distL="0" distR="0" wp14:anchorId="444DAC20" wp14:editId="0E74A7ED">
            <wp:extent cx="5760720" cy="1199515"/>
            <wp:effectExtent l="0" t="0" r="0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F9A7" w14:textId="77777777" w:rsidR="00CF401C" w:rsidRDefault="00CF401C"/>
    <w:p w14:paraId="65159C10" w14:textId="2FE96398" w:rsidR="007363E4" w:rsidRDefault="00CF401C">
      <w:r>
        <w:rPr>
          <w:noProof/>
        </w:rPr>
        <w:drawing>
          <wp:inline distT="0" distB="0" distL="0" distR="0" wp14:anchorId="279E95A9" wp14:editId="770F0CC4">
            <wp:extent cx="5760720" cy="54038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3E4">
        <w:br w:type="page"/>
      </w:r>
    </w:p>
    <w:p w14:paraId="49A44F72" w14:textId="615B0A20" w:rsidR="00392AC6" w:rsidRDefault="00392AC6"/>
    <w:p w14:paraId="6E527D6C" w14:textId="77E80E31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Ce document a été réalisé par la société Pali Kao Capital, reflétant ses convictions, n’est diffusé</w:t>
      </w:r>
    </w:p>
    <w:p w14:paraId="6DA28148" w14:textId="5F12B1EB" w:rsidR="008E34CA" w:rsidRPr="00B25A71" w:rsidRDefault="006E3808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Qu’à</w:t>
      </w:r>
      <w:r w:rsidR="008E34CA" w:rsidRPr="00B25A71">
        <w:rPr>
          <w:sz w:val="18"/>
          <w:szCs w:val="18"/>
        </w:rPr>
        <w:t xml:space="preserve"> titre informatif.</w:t>
      </w:r>
    </w:p>
    <w:p w14:paraId="0E469A79" w14:textId="5F4F1697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Les informations contenues ne constituent en aucun cas une incitation à acheter ou à vendre des</w:t>
      </w:r>
    </w:p>
    <w:p w14:paraId="47349AC9" w14:textId="1FC70B27" w:rsidR="008E34CA" w:rsidRPr="00B25A71" w:rsidRDefault="006E3808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Titres</w:t>
      </w:r>
      <w:r w:rsidR="008E34CA" w:rsidRPr="00B25A71">
        <w:rPr>
          <w:sz w:val="18"/>
          <w:szCs w:val="18"/>
        </w:rPr>
        <w:t>, ni une quelconque sollicitation ou offre de souscription aux fonds d’investissement décrits dans le présent document.</w:t>
      </w:r>
    </w:p>
    <w:p w14:paraId="4822E769" w14:textId="4756E64E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La société Pali Kao Capital peut percevoir une quote-part de rétrocession sur frais de gestion</w:t>
      </w:r>
    </w:p>
    <w:p w14:paraId="7E14918A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liés à certains OPC qu’elle conseille.</w:t>
      </w:r>
    </w:p>
    <w:p w14:paraId="339A36BE" w14:textId="2921360E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Il est rappelé aux destinataires de ce document qui envisageraient de souscrire aux fonds décrits dans ce document qu’une telle opération doit être exclusivement envisagée sur la base des informations</w:t>
      </w:r>
      <w:r w:rsidR="00B25A71" w:rsidRPr="00B25A71">
        <w:rPr>
          <w:sz w:val="18"/>
          <w:szCs w:val="18"/>
        </w:rPr>
        <w:t xml:space="preserve"> </w:t>
      </w:r>
      <w:r w:rsidRPr="00B25A71">
        <w:rPr>
          <w:sz w:val="18"/>
          <w:szCs w:val="18"/>
        </w:rPr>
        <w:t>figurant dans le prospectus des fonds, qui peuvent être différentes de celles présentées dans le</w:t>
      </w:r>
      <w:r w:rsidR="00B25A71" w:rsidRPr="00B25A71">
        <w:rPr>
          <w:sz w:val="18"/>
          <w:szCs w:val="18"/>
        </w:rPr>
        <w:t xml:space="preserve"> </w:t>
      </w:r>
      <w:r w:rsidRPr="00B25A71">
        <w:rPr>
          <w:sz w:val="18"/>
          <w:szCs w:val="18"/>
        </w:rPr>
        <w:t>présent document.</w:t>
      </w:r>
    </w:p>
    <w:p w14:paraId="3E32EAB8" w14:textId="3E8A87A7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Aucune garantie, exprimée ou implicite, ne saurait être attachée au présent document, ni de la part</w:t>
      </w:r>
    </w:p>
    <w:p w14:paraId="42636A90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de la société, ni de ses dirigeants, en ce qui concerne l’exactitude, l’intégralité ou la précision des</w:t>
      </w:r>
    </w:p>
    <w:p w14:paraId="7AFBE85B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informations qui y sont contenues. De la même façon, la société et ses dirigeants déclinent toute</w:t>
      </w:r>
    </w:p>
    <w:p w14:paraId="2D0DE74B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forme d’engagement ou de responsabilité auprès de ceux qui auront pris connaissance de ce</w:t>
      </w:r>
    </w:p>
    <w:p w14:paraId="096EE205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document.</w:t>
      </w:r>
    </w:p>
    <w:p w14:paraId="7DE18F03" w14:textId="3155231B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La distribution de ce document peut être légalement interdite dans certains pays. Il appartient donc</w:t>
      </w:r>
    </w:p>
    <w:p w14:paraId="513864F1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aux personnes qui en prennent connaissance de s’assurer par elles-mêmes qu’elles ne résident pas</w:t>
      </w:r>
    </w:p>
    <w:p w14:paraId="7B855F51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dans ces pays concernés, et le cas échéant d’en respecter les restrictions législatives. La distribution</w:t>
      </w:r>
    </w:p>
    <w:p w14:paraId="46A6AA99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de ce document dans ces pays est susceptible de représenter une atteinte à la Loi.</w:t>
      </w:r>
    </w:p>
    <w:p w14:paraId="02EB994F" w14:textId="2424B2EE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Les performances passées ne sauraient préjuger des performances futures. Les investisseurs sont</w:t>
      </w:r>
    </w:p>
    <w:p w14:paraId="23652A7E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susceptibles de subir de lourdes pertes par rapport à leur investissement initial selon l’évolution des</w:t>
      </w:r>
    </w:p>
    <w:p w14:paraId="7B1BDF7E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marchés et des cours de change. De même que les données présentées se réfèrent à des simulations</w:t>
      </w:r>
    </w:p>
    <w:p w14:paraId="7759CCB2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des performances passées et ne préjugent en rien des performances futures.</w:t>
      </w:r>
    </w:p>
    <w:p w14:paraId="2C9D43E4" w14:textId="3602D044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Les performances présentées sont les simulations de performances historiques de portefeuilles-types,</w:t>
      </w:r>
      <w:r w:rsidR="00B25A71" w:rsidRPr="00B25A71">
        <w:rPr>
          <w:sz w:val="18"/>
          <w:szCs w:val="18"/>
        </w:rPr>
        <w:t xml:space="preserve"> </w:t>
      </w:r>
      <w:r w:rsidRPr="00B25A71">
        <w:rPr>
          <w:sz w:val="18"/>
          <w:szCs w:val="18"/>
        </w:rPr>
        <w:t>utilisées comme indicateurs par la société pour le service d’allocations. Ces performances, qui son</w:t>
      </w:r>
      <w:r w:rsidR="00B25A71" w:rsidRPr="00B25A71">
        <w:rPr>
          <w:sz w:val="18"/>
          <w:szCs w:val="18"/>
        </w:rPr>
        <w:t xml:space="preserve">t </w:t>
      </w:r>
      <w:r w:rsidRPr="00B25A71">
        <w:rPr>
          <w:sz w:val="18"/>
          <w:szCs w:val="18"/>
        </w:rPr>
        <w:t>brutes de toutes commissions, redevances et autres charges, n’intègrent donc pas l’impact des frais</w:t>
      </w:r>
      <w:r w:rsidR="00B25A71" w:rsidRPr="00B25A71">
        <w:rPr>
          <w:sz w:val="18"/>
          <w:szCs w:val="18"/>
        </w:rPr>
        <w:t xml:space="preserve"> </w:t>
      </w:r>
      <w:r w:rsidRPr="00B25A71">
        <w:rPr>
          <w:sz w:val="18"/>
          <w:szCs w:val="18"/>
        </w:rPr>
        <w:t>de gestion et / ou de transactions facturées par un quelconque teneur de compte et/ou le ca</w:t>
      </w:r>
      <w:r w:rsidR="00B25A71">
        <w:rPr>
          <w:sz w:val="18"/>
          <w:szCs w:val="18"/>
        </w:rPr>
        <w:t xml:space="preserve">s </w:t>
      </w:r>
      <w:r w:rsidRPr="00B25A71">
        <w:rPr>
          <w:sz w:val="18"/>
          <w:szCs w:val="18"/>
        </w:rPr>
        <w:t>échéant par le récepteur-transmetteur d’ordres. La méthode de calcul des performances des</w:t>
      </w:r>
      <w:r w:rsidR="00B25A71">
        <w:rPr>
          <w:sz w:val="18"/>
          <w:szCs w:val="18"/>
        </w:rPr>
        <w:t xml:space="preserve"> </w:t>
      </w:r>
      <w:r w:rsidRPr="00B25A71">
        <w:rPr>
          <w:sz w:val="18"/>
          <w:szCs w:val="18"/>
        </w:rPr>
        <w:t>portefeuilles-types et des indices de référence, ainsi que la composition des indices de référence sont</w:t>
      </w:r>
      <w:r w:rsidR="00B25A71">
        <w:rPr>
          <w:sz w:val="18"/>
          <w:szCs w:val="18"/>
        </w:rPr>
        <w:t xml:space="preserve"> </w:t>
      </w:r>
      <w:r w:rsidRPr="00B25A71">
        <w:rPr>
          <w:sz w:val="18"/>
          <w:szCs w:val="18"/>
        </w:rPr>
        <w:t xml:space="preserve">disponibles sur simple demande auprès </w:t>
      </w:r>
      <w:r w:rsidR="00B25A71" w:rsidRPr="00B25A71">
        <w:rPr>
          <w:sz w:val="18"/>
          <w:szCs w:val="18"/>
        </w:rPr>
        <w:t>de Pali Kao Capital</w:t>
      </w:r>
      <w:r w:rsidRPr="00B25A71">
        <w:rPr>
          <w:sz w:val="18"/>
          <w:szCs w:val="18"/>
        </w:rPr>
        <w:t>.</w:t>
      </w:r>
    </w:p>
    <w:p w14:paraId="28424C3C" w14:textId="05F62F8F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Les indications de performances, qui résultent des simulations, ne sont pas certifiées et ne sont</w:t>
      </w:r>
    </w:p>
    <w:p w14:paraId="12735B70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fournies que pour illustrer la présentation générale du service de conseil en allocation que propose</w:t>
      </w:r>
    </w:p>
    <w:p w14:paraId="6E878FA8" w14:textId="35376563" w:rsidR="008E34CA" w:rsidRPr="00B25A71" w:rsidRDefault="00B25A71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Pali Kao Capital</w:t>
      </w:r>
      <w:r w:rsidR="008E34CA" w:rsidRPr="00B25A71">
        <w:rPr>
          <w:sz w:val="18"/>
          <w:szCs w:val="18"/>
        </w:rPr>
        <w:t>, ce service nécessitant, pour être mis en œuvre, la fourniture d’informations</w:t>
      </w:r>
    </w:p>
    <w:p w14:paraId="619F142B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complémentaires et la présentation de documents précontractuels et contractuels.</w:t>
      </w:r>
    </w:p>
    <w:p w14:paraId="2ED5A471" w14:textId="15979ACD" w:rsidR="008E34CA" w:rsidRPr="00B25A71" w:rsidRDefault="008E34CA" w:rsidP="00B25A71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B25A71">
        <w:rPr>
          <w:sz w:val="18"/>
          <w:szCs w:val="18"/>
        </w:rPr>
        <w:t>Certains mouvements peuvent ne pas impacter la totalité des portefeuilles gérés en raison de leur</w:t>
      </w:r>
    </w:p>
    <w:p w14:paraId="55124F54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nature, de leur taille ou des contraintes qui leur sont propres. Les publications d’opérations réalisées</w:t>
      </w:r>
    </w:p>
    <w:p w14:paraId="3A7A1FE9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ou à venir décrites dans la partie « stratégie d’investissement » ne constituent pas une</w:t>
      </w:r>
    </w:p>
    <w:p w14:paraId="7A26F1AD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recommandation d’investissement personnalisée. Elle ne contient aucune recommandation</w:t>
      </w:r>
    </w:p>
    <w:p w14:paraId="4312775A" w14:textId="77777777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d’acheter, de vendre ou de conserver un ou plusieurs instrument(s) financier(s) relatif(s) à un ou</w:t>
      </w:r>
    </w:p>
    <w:p w14:paraId="7CA0673B" w14:textId="36799B20" w:rsidR="008E34CA" w:rsidRPr="00B25A71" w:rsidRDefault="008E34CA" w:rsidP="00B25A71">
      <w:pPr>
        <w:pStyle w:val="Paragraphedeliste"/>
        <w:rPr>
          <w:sz w:val="18"/>
          <w:szCs w:val="18"/>
        </w:rPr>
      </w:pPr>
      <w:r w:rsidRPr="00B25A71">
        <w:rPr>
          <w:sz w:val="18"/>
          <w:szCs w:val="18"/>
        </w:rPr>
        <w:t>plusieurs émetteur(s) et ne peut donc être considérée comme tel.</w:t>
      </w:r>
    </w:p>
    <w:sectPr w:rsidR="008E34CA" w:rsidRPr="00B25A71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FC7F" w14:textId="77777777" w:rsidR="002A4326" w:rsidRDefault="002A4326" w:rsidP="007363E4">
      <w:pPr>
        <w:spacing w:after="0" w:line="240" w:lineRule="auto"/>
      </w:pPr>
      <w:r>
        <w:separator/>
      </w:r>
    </w:p>
  </w:endnote>
  <w:endnote w:type="continuationSeparator" w:id="0">
    <w:p w14:paraId="574ADC60" w14:textId="77777777" w:rsidR="002A4326" w:rsidRDefault="002A4326" w:rsidP="0073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31061"/>
      <w:docPartObj>
        <w:docPartGallery w:val="Page Numbers (Bottom of Page)"/>
        <w:docPartUnique/>
      </w:docPartObj>
    </w:sdtPr>
    <w:sdtEndPr/>
    <w:sdtContent>
      <w:p w14:paraId="574C6045" w14:textId="72C1385F" w:rsidR="00791C9F" w:rsidRDefault="00791C9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79E21" w14:textId="77777777" w:rsidR="00791C9F" w:rsidRDefault="00791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EE5" w14:textId="77777777" w:rsidR="002A4326" w:rsidRDefault="002A4326" w:rsidP="007363E4">
      <w:pPr>
        <w:spacing w:after="0" w:line="240" w:lineRule="auto"/>
      </w:pPr>
      <w:r>
        <w:separator/>
      </w:r>
    </w:p>
  </w:footnote>
  <w:footnote w:type="continuationSeparator" w:id="0">
    <w:p w14:paraId="1B92944C" w14:textId="77777777" w:rsidR="002A4326" w:rsidRDefault="002A4326" w:rsidP="0073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657A" w14:textId="0C589EB1" w:rsidR="00791C9F" w:rsidRPr="007363E4" w:rsidRDefault="00791C9F" w:rsidP="007363E4">
    <w:pPr>
      <w:pStyle w:val="En-tte"/>
      <w:jc w:val="center"/>
      <w:rPr>
        <w:rFonts w:ascii="Blackadder ITC" w:hAnsi="Blackadder ITC"/>
        <w:color w:val="2F5496" w:themeColor="accent1" w:themeShade="BF"/>
        <w:sz w:val="32"/>
        <w:szCs w:val="32"/>
      </w:rPr>
    </w:pPr>
    <w:r w:rsidRPr="007363E4">
      <w:rPr>
        <w:rFonts w:ascii="Blackadder ITC" w:hAnsi="Blackadder ITC"/>
        <w:color w:val="2F5496" w:themeColor="accent1" w:themeShade="BF"/>
        <w:sz w:val="32"/>
        <w:szCs w:val="32"/>
      </w:rPr>
      <w:t xml:space="preserve">La Lettre </w:t>
    </w:r>
    <w:r w:rsidR="00E743AF">
      <w:rPr>
        <w:rFonts w:ascii="Blackadder ITC" w:hAnsi="Blackadder ITC"/>
        <w:color w:val="2F5496" w:themeColor="accent1" w:themeShade="BF"/>
        <w:sz w:val="32"/>
        <w:szCs w:val="32"/>
      </w:rPr>
      <w:t>trimestrielle</w:t>
    </w:r>
  </w:p>
  <w:p w14:paraId="1EE246DE" w14:textId="69C5715C" w:rsidR="00791C9F" w:rsidRPr="007363E4" w:rsidRDefault="00791C9F" w:rsidP="00F81754">
    <w:pPr>
      <w:pStyle w:val="En-tte"/>
      <w:jc w:val="center"/>
      <w:rPr>
        <w:rFonts w:ascii="Blackadder ITC" w:hAnsi="Blackadder ITC"/>
        <w:color w:val="2F5496" w:themeColor="accent1" w:themeShade="BF"/>
        <w:sz w:val="32"/>
        <w:szCs w:val="32"/>
      </w:rPr>
    </w:pPr>
    <w:r w:rsidRPr="00E0280B">
      <w:rPr>
        <w:rFonts w:ascii="Blackadder ITC" w:hAnsi="Blackadder ITC"/>
        <w:color w:val="2F5496" w:themeColor="accent1" w:themeShade="BF"/>
        <w:sz w:val="32"/>
        <w:szCs w:val="32"/>
      </w:rPr>
      <w:t>Pali kao capital</w:t>
    </w:r>
  </w:p>
  <w:p w14:paraId="5A36CD45" w14:textId="2265209E" w:rsidR="00791C9F" w:rsidRDefault="00791C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CA1096B" wp14:editId="2977E422">
              <wp:simplePos x="0" y="0"/>
              <wp:positionH relativeFrom="column">
                <wp:posOffset>-1197668</wp:posOffset>
              </wp:positionH>
              <wp:positionV relativeFrom="paragraph">
                <wp:posOffset>171565</wp:posOffset>
              </wp:positionV>
              <wp:extent cx="7938655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893A2" id="Connecteur droit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3pt,13.5pt" to="530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DFC"/>
    <w:multiLevelType w:val="hybridMultilevel"/>
    <w:tmpl w:val="97B0C7E2"/>
    <w:lvl w:ilvl="0" w:tplc="CC28AE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290"/>
    <w:multiLevelType w:val="hybridMultilevel"/>
    <w:tmpl w:val="4DA4231C"/>
    <w:lvl w:ilvl="0" w:tplc="5A3417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6C90"/>
    <w:multiLevelType w:val="hybridMultilevel"/>
    <w:tmpl w:val="20060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E4"/>
    <w:rsid w:val="000040CB"/>
    <w:rsid w:val="000127DD"/>
    <w:rsid w:val="00016106"/>
    <w:rsid w:val="0002360A"/>
    <w:rsid w:val="00025CAB"/>
    <w:rsid w:val="00031EC7"/>
    <w:rsid w:val="00032BBE"/>
    <w:rsid w:val="00036B78"/>
    <w:rsid w:val="00046F98"/>
    <w:rsid w:val="00047327"/>
    <w:rsid w:val="000507B7"/>
    <w:rsid w:val="00060A4F"/>
    <w:rsid w:val="0007264B"/>
    <w:rsid w:val="000732E6"/>
    <w:rsid w:val="00073FAE"/>
    <w:rsid w:val="000820ED"/>
    <w:rsid w:val="0009301F"/>
    <w:rsid w:val="000A4118"/>
    <w:rsid w:val="000B47D4"/>
    <w:rsid w:val="000D01C2"/>
    <w:rsid w:val="000D14C4"/>
    <w:rsid w:val="000E1AA0"/>
    <w:rsid w:val="000E2858"/>
    <w:rsid w:val="000F6211"/>
    <w:rsid w:val="00101837"/>
    <w:rsid w:val="00104A79"/>
    <w:rsid w:val="00114EA7"/>
    <w:rsid w:val="001447BC"/>
    <w:rsid w:val="00146163"/>
    <w:rsid w:val="0015118B"/>
    <w:rsid w:val="001540F6"/>
    <w:rsid w:val="001671CE"/>
    <w:rsid w:val="001A1AF6"/>
    <w:rsid w:val="001A3118"/>
    <w:rsid w:val="001C1B2C"/>
    <w:rsid w:val="001C2DB7"/>
    <w:rsid w:val="001C3151"/>
    <w:rsid w:val="001D4069"/>
    <w:rsid w:val="001E19B0"/>
    <w:rsid w:val="001F1F87"/>
    <w:rsid w:val="00202E28"/>
    <w:rsid w:val="0020459F"/>
    <w:rsid w:val="00206F02"/>
    <w:rsid w:val="00220F08"/>
    <w:rsid w:val="00225AAC"/>
    <w:rsid w:val="002267F5"/>
    <w:rsid w:val="00235EF6"/>
    <w:rsid w:val="002375B4"/>
    <w:rsid w:val="0025421B"/>
    <w:rsid w:val="0026075A"/>
    <w:rsid w:val="00276272"/>
    <w:rsid w:val="00290110"/>
    <w:rsid w:val="002928C9"/>
    <w:rsid w:val="002A4326"/>
    <w:rsid w:val="002A7FC3"/>
    <w:rsid w:val="002C38DD"/>
    <w:rsid w:val="002E4807"/>
    <w:rsid w:val="003036F3"/>
    <w:rsid w:val="00325418"/>
    <w:rsid w:val="0032747D"/>
    <w:rsid w:val="00331AE6"/>
    <w:rsid w:val="0033293B"/>
    <w:rsid w:val="00335FF3"/>
    <w:rsid w:val="003364DD"/>
    <w:rsid w:val="0034000A"/>
    <w:rsid w:val="00355666"/>
    <w:rsid w:val="00357280"/>
    <w:rsid w:val="00364719"/>
    <w:rsid w:val="00367DEF"/>
    <w:rsid w:val="00371229"/>
    <w:rsid w:val="00374431"/>
    <w:rsid w:val="00376163"/>
    <w:rsid w:val="003768EE"/>
    <w:rsid w:val="00377DA3"/>
    <w:rsid w:val="003805EE"/>
    <w:rsid w:val="00381618"/>
    <w:rsid w:val="00390885"/>
    <w:rsid w:val="00392AC6"/>
    <w:rsid w:val="003A0C2D"/>
    <w:rsid w:val="003A1E2B"/>
    <w:rsid w:val="003B7839"/>
    <w:rsid w:val="003C52A8"/>
    <w:rsid w:val="003E2601"/>
    <w:rsid w:val="003F59CC"/>
    <w:rsid w:val="00422DD7"/>
    <w:rsid w:val="00423216"/>
    <w:rsid w:val="004323BF"/>
    <w:rsid w:val="00440384"/>
    <w:rsid w:val="004471B6"/>
    <w:rsid w:val="004507CC"/>
    <w:rsid w:val="00453D39"/>
    <w:rsid w:val="0045568D"/>
    <w:rsid w:val="004556C5"/>
    <w:rsid w:val="0045738A"/>
    <w:rsid w:val="004600F1"/>
    <w:rsid w:val="00464F0D"/>
    <w:rsid w:val="00467F52"/>
    <w:rsid w:val="004735D1"/>
    <w:rsid w:val="004845B9"/>
    <w:rsid w:val="00490011"/>
    <w:rsid w:val="00493104"/>
    <w:rsid w:val="00494100"/>
    <w:rsid w:val="004A4ED1"/>
    <w:rsid w:val="004B5F85"/>
    <w:rsid w:val="004C1028"/>
    <w:rsid w:val="004C109A"/>
    <w:rsid w:val="004C2D06"/>
    <w:rsid w:val="004C3C00"/>
    <w:rsid w:val="004C5D41"/>
    <w:rsid w:val="004C5E89"/>
    <w:rsid w:val="004D08EB"/>
    <w:rsid w:val="004D2528"/>
    <w:rsid w:val="004D5227"/>
    <w:rsid w:val="004E3E41"/>
    <w:rsid w:val="004F16B7"/>
    <w:rsid w:val="004F721B"/>
    <w:rsid w:val="00506192"/>
    <w:rsid w:val="00531B31"/>
    <w:rsid w:val="005354D4"/>
    <w:rsid w:val="00542AFE"/>
    <w:rsid w:val="00543FFF"/>
    <w:rsid w:val="00553277"/>
    <w:rsid w:val="005551C1"/>
    <w:rsid w:val="00561C67"/>
    <w:rsid w:val="00563B0C"/>
    <w:rsid w:val="0059072F"/>
    <w:rsid w:val="005A3E02"/>
    <w:rsid w:val="005B3A8B"/>
    <w:rsid w:val="005B6D75"/>
    <w:rsid w:val="005E313D"/>
    <w:rsid w:val="005F4CF0"/>
    <w:rsid w:val="0061227A"/>
    <w:rsid w:val="00613694"/>
    <w:rsid w:val="00615322"/>
    <w:rsid w:val="006256AE"/>
    <w:rsid w:val="00661350"/>
    <w:rsid w:val="00666E4D"/>
    <w:rsid w:val="006878E4"/>
    <w:rsid w:val="006929AB"/>
    <w:rsid w:val="006A7252"/>
    <w:rsid w:val="006B7D5B"/>
    <w:rsid w:val="006C3469"/>
    <w:rsid w:val="006C404C"/>
    <w:rsid w:val="006C4881"/>
    <w:rsid w:val="006E2EB7"/>
    <w:rsid w:val="006E3808"/>
    <w:rsid w:val="006F4E5F"/>
    <w:rsid w:val="00713F75"/>
    <w:rsid w:val="00727494"/>
    <w:rsid w:val="007363E4"/>
    <w:rsid w:val="00741E24"/>
    <w:rsid w:val="0074451E"/>
    <w:rsid w:val="00751024"/>
    <w:rsid w:val="00771867"/>
    <w:rsid w:val="0077600A"/>
    <w:rsid w:val="0077662A"/>
    <w:rsid w:val="00791C9F"/>
    <w:rsid w:val="0079416D"/>
    <w:rsid w:val="007A2089"/>
    <w:rsid w:val="007A7920"/>
    <w:rsid w:val="007C48E4"/>
    <w:rsid w:val="007D6454"/>
    <w:rsid w:val="007E054A"/>
    <w:rsid w:val="007F43FF"/>
    <w:rsid w:val="007F472B"/>
    <w:rsid w:val="007F758E"/>
    <w:rsid w:val="00813B47"/>
    <w:rsid w:val="008240D7"/>
    <w:rsid w:val="008333AC"/>
    <w:rsid w:val="00840F5D"/>
    <w:rsid w:val="008437D5"/>
    <w:rsid w:val="00844336"/>
    <w:rsid w:val="008507E1"/>
    <w:rsid w:val="00862A1E"/>
    <w:rsid w:val="00863EF3"/>
    <w:rsid w:val="0087326B"/>
    <w:rsid w:val="00875386"/>
    <w:rsid w:val="0087541E"/>
    <w:rsid w:val="008820D3"/>
    <w:rsid w:val="0088722D"/>
    <w:rsid w:val="008A50BB"/>
    <w:rsid w:val="008B28B0"/>
    <w:rsid w:val="008B3B8B"/>
    <w:rsid w:val="008D17DA"/>
    <w:rsid w:val="008E34CA"/>
    <w:rsid w:val="008E7740"/>
    <w:rsid w:val="008F0FD2"/>
    <w:rsid w:val="008F3B1E"/>
    <w:rsid w:val="0091207F"/>
    <w:rsid w:val="00916E5A"/>
    <w:rsid w:val="00917A8B"/>
    <w:rsid w:val="009273A8"/>
    <w:rsid w:val="009341DF"/>
    <w:rsid w:val="00934EDC"/>
    <w:rsid w:val="00936691"/>
    <w:rsid w:val="00963B91"/>
    <w:rsid w:val="0096417C"/>
    <w:rsid w:val="00997B85"/>
    <w:rsid w:val="009B602E"/>
    <w:rsid w:val="009C7DE7"/>
    <w:rsid w:val="009D12B6"/>
    <w:rsid w:val="009E4059"/>
    <w:rsid w:val="009F07E5"/>
    <w:rsid w:val="00A07180"/>
    <w:rsid w:val="00A14D91"/>
    <w:rsid w:val="00A16FA7"/>
    <w:rsid w:val="00A25C87"/>
    <w:rsid w:val="00A30FC3"/>
    <w:rsid w:val="00A31113"/>
    <w:rsid w:val="00A33EBB"/>
    <w:rsid w:val="00A443AB"/>
    <w:rsid w:val="00A52707"/>
    <w:rsid w:val="00A52D78"/>
    <w:rsid w:val="00A56B71"/>
    <w:rsid w:val="00A64F56"/>
    <w:rsid w:val="00A85375"/>
    <w:rsid w:val="00A86F4A"/>
    <w:rsid w:val="00A939EC"/>
    <w:rsid w:val="00AB2951"/>
    <w:rsid w:val="00AB3B43"/>
    <w:rsid w:val="00AB4A28"/>
    <w:rsid w:val="00AD2BAA"/>
    <w:rsid w:val="00AD40B7"/>
    <w:rsid w:val="00AD56C3"/>
    <w:rsid w:val="00AF212C"/>
    <w:rsid w:val="00AF3C63"/>
    <w:rsid w:val="00B0067E"/>
    <w:rsid w:val="00B10832"/>
    <w:rsid w:val="00B12C71"/>
    <w:rsid w:val="00B1698A"/>
    <w:rsid w:val="00B24193"/>
    <w:rsid w:val="00B25A71"/>
    <w:rsid w:val="00B40601"/>
    <w:rsid w:val="00B40AD1"/>
    <w:rsid w:val="00B61B74"/>
    <w:rsid w:val="00B63B85"/>
    <w:rsid w:val="00B809CA"/>
    <w:rsid w:val="00B86D89"/>
    <w:rsid w:val="00B873BC"/>
    <w:rsid w:val="00B96DBF"/>
    <w:rsid w:val="00BA622F"/>
    <w:rsid w:val="00BA6FBB"/>
    <w:rsid w:val="00BB3556"/>
    <w:rsid w:val="00BB7824"/>
    <w:rsid w:val="00BC0D18"/>
    <w:rsid w:val="00BE3A57"/>
    <w:rsid w:val="00BE66A8"/>
    <w:rsid w:val="00C14515"/>
    <w:rsid w:val="00C3177F"/>
    <w:rsid w:val="00C362F4"/>
    <w:rsid w:val="00C43867"/>
    <w:rsid w:val="00C719A2"/>
    <w:rsid w:val="00C759A8"/>
    <w:rsid w:val="00C90278"/>
    <w:rsid w:val="00CC11D6"/>
    <w:rsid w:val="00CC2822"/>
    <w:rsid w:val="00CC7E22"/>
    <w:rsid w:val="00CF14CE"/>
    <w:rsid w:val="00CF401C"/>
    <w:rsid w:val="00CF4350"/>
    <w:rsid w:val="00D173C2"/>
    <w:rsid w:val="00D263DF"/>
    <w:rsid w:val="00D35AF9"/>
    <w:rsid w:val="00D41797"/>
    <w:rsid w:val="00D44132"/>
    <w:rsid w:val="00D520AF"/>
    <w:rsid w:val="00D54152"/>
    <w:rsid w:val="00D66485"/>
    <w:rsid w:val="00D7333A"/>
    <w:rsid w:val="00D81FD9"/>
    <w:rsid w:val="00D934C5"/>
    <w:rsid w:val="00D97439"/>
    <w:rsid w:val="00DC3A0B"/>
    <w:rsid w:val="00DD2F35"/>
    <w:rsid w:val="00DE23BE"/>
    <w:rsid w:val="00DE62B7"/>
    <w:rsid w:val="00DF069E"/>
    <w:rsid w:val="00E0280B"/>
    <w:rsid w:val="00E13AFB"/>
    <w:rsid w:val="00E22F0B"/>
    <w:rsid w:val="00E5476D"/>
    <w:rsid w:val="00E64429"/>
    <w:rsid w:val="00E660E0"/>
    <w:rsid w:val="00E679C5"/>
    <w:rsid w:val="00E70469"/>
    <w:rsid w:val="00E714AB"/>
    <w:rsid w:val="00E743AF"/>
    <w:rsid w:val="00E846DE"/>
    <w:rsid w:val="00E86549"/>
    <w:rsid w:val="00E92800"/>
    <w:rsid w:val="00EA3ED4"/>
    <w:rsid w:val="00EA48F3"/>
    <w:rsid w:val="00EB1DFA"/>
    <w:rsid w:val="00EC5378"/>
    <w:rsid w:val="00ED5C83"/>
    <w:rsid w:val="00EE08FB"/>
    <w:rsid w:val="00EF0199"/>
    <w:rsid w:val="00EF481F"/>
    <w:rsid w:val="00EF670B"/>
    <w:rsid w:val="00EF6F14"/>
    <w:rsid w:val="00EF76B2"/>
    <w:rsid w:val="00EF7CCD"/>
    <w:rsid w:val="00F21312"/>
    <w:rsid w:val="00F32AAE"/>
    <w:rsid w:val="00F46DC3"/>
    <w:rsid w:val="00F500A7"/>
    <w:rsid w:val="00F53F60"/>
    <w:rsid w:val="00F81754"/>
    <w:rsid w:val="00F852C1"/>
    <w:rsid w:val="00FA7C5A"/>
    <w:rsid w:val="00FB3443"/>
    <w:rsid w:val="00FC372F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1F82B"/>
  <w15:chartTrackingRefBased/>
  <w15:docId w15:val="{FB83AC51-8B61-491E-87B7-7140BC9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3E4"/>
  </w:style>
  <w:style w:type="paragraph" w:styleId="Pieddepage">
    <w:name w:val="footer"/>
    <w:basedOn w:val="Normal"/>
    <w:link w:val="PieddepageCar"/>
    <w:uiPriority w:val="99"/>
    <w:unhideWhenUsed/>
    <w:rsid w:val="0073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3E4"/>
  </w:style>
  <w:style w:type="paragraph" w:customStyle="1" w:styleId="Contenu">
    <w:name w:val="Contenu"/>
    <w:basedOn w:val="Normal"/>
    <w:link w:val="Caractredecontenu"/>
    <w:qFormat/>
    <w:rsid w:val="004845B9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ctredecontenu">
    <w:name w:val="Caractère de contenu"/>
    <w:basedOn w:val="Policepardfaut"/>
    <w:link w:val="Contenu"/>
    <w:rsid w:val="004845B9"/>
    <w:rPr>
      <w:rFonts w:eastAsiaTheme="minorEastAsia"/>
      <w:color w:val="44546A" w:themeColor="text2"/>
      <w:sz w:val="28"/>
    </w:rPr>
  </w:style>
  <w:style w:type="paragraph" w:styleId="Paragraphedeliste">
    <w:name w:val="List Paragraph"/>
    <w:basedOn w:val="Normal"/>
    <w:uiPriority w:val="34"/>
    <w:qFormat/>
    <w:rsid w:val="00B25A7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3293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29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sitbon</dc:creator>
  <cp:keywords/>
  <dc:description/>
  <cp:lastModifiedBy>david sitbon</cp:lastModifiedBy>
  <cp:revision>2</cp:revision>
  <cp:lastPrinted>2021-02-11T08:16:00Z</cp:lastPrinted>
  <dcterms:created xsi:type="dcterms:W3CDTF">2022-03-29T09:53:00Z</dcterms:created>
  <dcterms:modified xsi:type="dcterms:W3CDTF">2022-03-29T09:53:00Z</dcterms:modified>
</cp:coreProperties>
</file>