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98BE" w14:textId="0A24A552" w:rsidR="004845B9" w:rsidRDefault="004845B9">
      <w:bookmarkStart w:id="0" w:name="_Hlk55374615"/>
      <w:bookmarkEnd w:id="0"/>
    </w:p>
    <w:p w14:paraId="3AE6E845" w14:textId="77777777" w:rsidR="00E743AF" w:rsidRDefault="00E743AF"/>
    <w:p w14:paraId="007238A0" w14:textId="38F2FF02" w:rsidR="00F21312" w:rsidRPr="00DF069E" w:rsidRDefault="00F21312" w:rsidP="004845B9">
      <w:pPr>
        <w:pStyle w:val="Contenu"/>
        <w:rPr>
          <w:rFonts w:asciiTheme="majorHAnsi" w:hAnsiTheme="majorHAnsi" w:cstheme="majorHAnsi"/>
          <w:color w:val="1F3864" w:themeColor="accent1" w:themeShade="80"/>
          <w:sz w:val="22"/>
        </w:rPr>
      </w:pPr>
    </w:p>
    <w:p w14:paraId="067CFE20" w14:textId="77777777" w:rsidR="00B019B5" w:rsidRPr="00BA0D80" w:rsidRDefault="00F21312" w:rsidP="001E0D14">
      <w:pPr>
        <w:pStyle w:val="Contenu"/>
        <w:rPr>
          <w:rFonts w:asciiTheme="majorHAnsi" w:hAnsiTheme="majorHAnsi" w:cstheme="majorHAnsi"/>
          <w:sz w:val="22"/>
        </w:rPr>
      </w:pPr>
      <w:r w:rsidRPr="00BA0D80">
        <w:rPr>
          <w:rFonts w:asciiTheme="majorHAnsi" w:hAnsiTheme="majorHAnsi" w:cstheme="majorHAnsi"/>
          <w:sz w:val="22"/>
        </w:rPr>
        <w:t>Lors de notre dernière lettre</w:t>
      </w:r>
      <w:r w:rsidR="00343DCE" w:rsidRPr="00BA0D80">
        <w:rPr>
          <w:rFonts w:asciiTheme="majorHAnsi" w:hAnsiTheme="majorHAnsi" w:cstheme="majorHAnsi"/>
          <w:sz w:val="22"/>
        </w:rPr>
        <w:t xml:space="preserve"> trimestrielle de septembre</w:t>
      </w:r>
      <w:r w:rsidRPr="00BA0D80">
        <w:rPr>
          <w:rFonts w:asciiTheme="majorHAnsi" w:hAnsiTheme="majorHAnsi" w:cstheme="majorHAnsi"/>
          <w:sz w:val="22"/>
        </w:rPr>
        <w:t xml:space="preserve">, </w:t>
      </w:r>
      <w:r w:rsidR="00BF021B" w:rsidRPr="00BA0D80">
        <w:rPr>
          <w:rFonts w:asciiTheme="majorHAnsi" w:hAnsiTheme="majorHAnsi" w:cstheme="majorHAnsi"/>
          <w:sz w:val="22"/>
        </w:rPr>
        <w:t>nous</w:t>
      </w:r>
      <w:r w:rsidR="00A1495A" w:rsidRPr="00BA0D80">
        <w:rPr>
          <w:rFonts w:asciiTheme="majorHAnsi" w:hAnsiTheme="majorHAnsi" w:cstheme="majorHAnsi"/>
          <w:sz w:val="22"/>
        </w:rPr>
        <w:t xml:space="preserve"> </w:t>
      </w:r>
      <w:r w:rsidR="00BE115C" w:rsidRPr="00BA0D80">
        <w:rPr>
          <w:rFonts w:asciiTheme="majorHAnsi" w:hAnsiTheme="majorHAnsi" w:cstheme="majorHAnsi"/>
          <w:sz w:val="22"/>
        </w:rPr>
        <w:t xml:space="preserve">envisagions </w:t>
      </w:r>
      <w:r w:rsidR="008633BD" w:rsidRPr="00BA0D80">
        <w:rPr>
          <w:rFonts w:asciiTheme="majorHAnsi" w:hAnsiTheme="majorHAnsi" w:cstheme="majorHAnsi"/>
          <w:sz w:val="22"/>
        </w:rPr>
        <w:t xml:space="preserve">une prise de bénéfices sur les marchés </w:t>
      </w:r>
      <w:r w:rsidR="00B019B5" w:rsidRPr="00BA0D80">
        <w:rPr>
          <w:rFonts w:asciiTheme="majorHAnsi" w:hAnsiTheme="majorHAnsi" w:cstheme="majorHAnsi"/>
          <w:sz w:val="22"/>
        </w:rPr>
        <w:t>boursiers,</w:t>
      </w:r>
      <w:r w:rsidR="008633BD" w:rsidRPr="00BA0D80">
        <w:rPr>
          <w:rFonts w:asciiTheme="majorHAnsi" w:hAnsiTheme="majorHAnsi" w:cstheme="majorHAnsi"/>
          <w:sz w:val="22"/>
        </w:rPr>
        <w:t xml:space="preserve"> sans enrayer le cycle de croissance</w:t>
      </w:r>
      <w:r w:rsidR="008E6D68" w:rsidRPr="00BA0D80">
        <w:rPr>
          <w:rFonts w:asciiTheme="majorHAnsi" w:hAnsiTheme="majorHAnsi" w:cstheme="majorHAnsi"/>
          <w:sz w:val="22"/>
        </w:rPr>
        <w:t xml:space="preserve"> des marchés</w:t>
      </w:r>
      <w:r w:rsidR="002C4BBA" w:rsidRPr="00BA0D80">
        <w:rPr>
          <w:rFonts w:asciiTheme="majorHAnsi" w:hAnsiTheme="majorHAnsi" w:cstheme="majorHAnsi"/>
          <w:sz w:val="22"/>
        </w:rPr>
        <w:t>.</w:t>
      </w:r>
      <w:r w:rsidR="00421413" w:rsidRPr="00BA0D80">
        <w:rPr>
          <w:rFonts w:asciiTheme="majorHAnsi" w:hAnsiTheme="majorHAnsi" w:cstheme="majorHAnsi"/>
          <w:sz w:val="22"/>
        </w:rPr>
        <w:t xml:space="preserve"> </w:t>
      </w:r>
    </w:p>
    <w:p w14:paraId="7BA833F2" w14:textId="31D32A83" w:rsidR="00343DCE" w:rsidRPr="00BA0D80" w:rsidRDefault="00421413" w:rsidP="001E0D14">
      <w:pPr>
        <w:pStyle w:val="Contenu"/>
        <w:rPr>
          <w:rFonts w:asciiTheme="majorHAnsi" w:hAnsiTheme="majorHAnsi" w:cstheme="majorHAnsi"/>
          <w:sz w:val="22"/>
        </w:rPr>
      </w:pPr>
      <w:r w:rsidRPr="00BA0D80">
        <w:rPr>
          <w:rFonts w:asciiTheme="majorHAnsi" w:hAnsiTheme="majorHAnsi" w:cstheme="majorHAnsi"/>
          <w:sz w:val="22"/>
        </w:rPr>
        <w:t xml:space="preserve">La prise de bénéfices a été assez rapide </w:t>
      </w:r>
      <w:r w:rsidR="00D75223" w:rsidRPr="00BA0D80">
        <w:rPr>
          <w:rFonts w:asciiTheme="majorHAnsi" w:hAnsiTheme="majorHAnsi" w:cstheme="majorHAnsi"/>
          <w:sz w:val="22"/>
        </w:rPr>
        <w:t>en durée et en valeur (5/7%</w:t>
      </w:r>
      <w:r w:rsidR="0058586C">
        <w:rPr>
          <w:rFonts w:asciiTheme="majorHAnsi" w:hAnsiTheme="majorHAnsi" w:cstheme="majorHAnsi"/>
          <w:sz w:val="22"/>
        </w:rPr>
        <w:t xml:space="preserve"> sur quelques jours</w:t>
      </w:r>
      <w:proofErr w:type="gramStart"/>
      <w:r w:rsidR="00D75223" w:rsidRPr="00BA0D80">
        <w:rPr>
          <w:rFonts w:asciiTheme="majorHAnsi" w:hAnsiTheme="majorHAnsi" w:cstheme="majorHAnsi"/>
          <w:sz w:val="22"/>
        </w:rPr>
        <w:t>) ,</w:t>
      </w:r>
      <w:proofErr w:type="gramEnd"/>
      <w:r w:rsidR="00D75223" w:rsidRPr="00BA0D80">
        <w:rPr>
          <w:rFonts w:asciiTheme="majorHAnsi" w:hAnsiTheme="majorHAnsi" w:cstheme="majorHAnsi"/>
          <w:sz w:val="22"/>
        </w:rPr>
        <w:t xml:space="preserve"> suite à cela, </w:t>
      </w:r>
      <w:r w:rsidR="00343DCE" w:rsidRPr="00BA0D80">
        <w:rPr>
          <w:rFonts w:asciiTheme="majorHAnsi" w:hAnsiTheme="majorHAnsi" w:cstheme="majorHAnsi"/>
          <w:sz w:val="22"/>
        </w:rPr>
        <w:t>L’</w:t>
      </w:r>
      <w:proofErr w:type="spellStart"/>
      <w:r w:rsidR="00343DCE" w:rsidRPr="00BA0D80">
        <w:rPr>
          <w:rFonts w:asciiTheme="majorHAnsi" w:hAnsiTheme="majorHAnsi" w:cstheme="majorHAnsi"/>
          <w:sz w:val="22"/>
        </w:rPr>
        <w:t>eurostoxx</w:t>
      </w:r>
      <w:proofErr w:type="spellEnd"/>
      <w:r w:rsidR="00343DCE" w:rsidRPr="00BA0D80">
        <w:rPr>
          <w:rFonts w:asciiTheme="majorHAnsi" w:hAnsiTheme="majorHAnsi" w:cstheme="majorHAnsi"/>
          <w:sz w:val="22"/>
        </w:rPr>
        <w:t xml:space="preserve"> </w:t>
      </w:r>
      <w:r w:rsidR="00D75223" w:rsidRPr="00BA0D80">
        <w:rPr>
          <w:rFonts w:asciiTheme="majorHAnsi" w:hAnsiTheme="majorHAnsi" w:cstheme="majorHAnsi"/>
          <w:sz w:val="22"/>
        </w:rPr>
        <w:t xml:space="preserve"> a fini en hausse de </w:t>
      </w:r>
      <w:r w:rsidR="006B525F" w:rsidRPr="00BA0D80">
        <w:rPr>
          <w:rFonts w:asciiTheme="majorHAnsi" w:hAnsiTheme="majorHAnsi" w:cstheme="majorHAnsi"/>
          <w:sz w:val="22"/>
        </w:rPr>
        <w:t xml:space="preserve"> 2% </w:t>
      </w:r>
      <w:r w:rsidR="00D75223" w:rsidRPr="00BA0D80">
        <w:rPr>
          <w:rFonts w:asciiTheme="majorHAnsi" w:hAnsiTheme="majorHAnsi" w:cstheme="majorHAnsi"/>
          <w:sz w:val="22"/>
        </w:rPr>
        <w:t xml:space="preserve">par rapport au niveau qui était le sien </w:t>
      </w:r>
      <w:r w:rsidR="00FB54E2" w:rsidRPr="00BA0D80">
        <w:rPr>
          <w:rFonts w:asciiTheme="majorHAnsi" w:hAnsiTheme="majorHAnsi" w:cstheme="majorHAnsi"/>
          <w:sz w:val="22"/>
        </w:rPr>
        <w:t>mi-septembre</w:t>
      </w:r>
      <w:r w:rsidR="00637CC9" w:rsidRPr="00BA0D80">
        <w:rPr>
          <w:rFonts w:asciiTheme="majorHAnsi" w:hAnsiTheme="majorHAnsi" w:cstheme="majorHAnsi"/>
          <w:sz w:val="22"/>
        </w:rPr>
        <w:t>.</w:t>
      </w:r>
    </w:p>
    <w:p w14:paraId="6C790428" w14:textId="77777777" w:rsidR="006B525F" w:rsidRPr="00BA0D80" w:rsidRDefault="006B525F" w:rsidP="001E0D14">
      <w:pPr>
        <w:pStyle w:val="Contenu"/>
        <w:rPr>
          <w:rFonts w:asciiTheme="majorHAnsi" w:hAnsiTheme="majorHAnsi" w:cstheme="majorHAnsi"/>
          <w:sz w:val="22"/>
        </w:rPr>
      </w:pPr>
    </w:p>
    <w:p w14:paraId="3F6862BD" w14:textId="291343F1" w:rsidR="006B525F" w:rsidRPr="00BA0D80" w:rsidRDefault="006B525F" w:rsidP="001E0D14">
      <w:pPr>
        <w:pStyle w:val="Contenu"/>
        <w:rPr>
          <w:rFonts w:asciiTheme="majorHAnsi" w:hAnsiTheme="majorHAnsi" w:cstheme="majorHAnsi"/>
          <w:sz w:val="22"/>
        </w:rPr>
      </w:pPr>
      <w:r w:rsidRPr="00BA0D80">
        <w:rPr>
          <w:rFonts w:asciiTheme="majorHAnsi" w:hAnsiTheme="majorHAnsi" w:cstheme="majorHAnsi"/>
          <w:sz w:val="22"/>
        </w:rPr>
        <w:t xml:space="preserve">Nous pensons que </w:t>
      </w:r>
      <w:r w:rsidR="00033245" w:rsidRPr="00BA0D80">
        <w:rPr>
          <w:rFonts w:asciiTheme="majorHAnsi" w:hAnsiTheme="majorHAnsi" w:cstheme="majorHAnsi"/>
          <w:sz w:val="22"/>
        </w:rPr>
        <w:t xml:space="preserve">le comportement des marchés en </w:t>
      </w:r>
      <w:r w:rsidRPr="00BA0D80">
        <w:rPr>
          <w:rFonts w:asciiTheme="majorHAnsi" w:hAnsiTheme="majorHAnsi" w:cstheme="majorHAnsi"/>
          <w:sz w:val="22"/>
        </w:rPr>
        <w:t xml:space="preserve">2022 </w:t>
      </w:r>
      <w:r w:rsidR="002926AC" w:rsidRPr="00BA0D80">
        <w:rPr>
          <w:rFonts w:asciiTheme="majorHAnsi" w:hAnsiTheme="majorHAnsi" w:cstheme="majorHAnsi"/>
          <w:sz w:val="22"/>
        </w:rPr>
        <w:t xml:space="preserve">ne </w:t>
      </w:r>
      <w:r w:rsidR="00354A6E" w:rsidRPr="00BA0D80">
        <w:rPr>
          <w:rFonts w:asciiTheme="majorHAnsi" w:hAnsiTheme="majorHAnsi" w:cstheme="majorHAnsi"/>
          <w:sz w:val="22"/>
        </w:rPr>
        <w:t xml:space="preserve">sera </w:t>
      </w:r>
      <w:r w:rsidR="002926AC" w:rsidRPr="00BA0D80">
        <w:rPr>
          <w:rFonts w:asciiTheme="majorHAnsi" w:hAnsiTheme="majorHAnsi" w:cstheme="majorHAnsi"/>
          <w:sz w:val="22"/>
        </w:rPr>
        <w:t xml:space="preserve">pas </w:t>
      </w:r>
      <w:r w:rsidR="00126BF6" w:rsidRPr="00BA0D80">
        <w:rPr>
          <w:rFonts w:asciiTheme="majorHAnsi" w:hAnsiTheme="majorHAnsi" w:cstheme="majorHAnsi"/>
          <w:sz w:val="22"/>
        </w:rPr>
        <w:t xml:space="preserve">du même </w:t>
      </w:r>
      <w:r w:rsidR="00033245" w:rsidRPr="00BA0D80">
        <w:rPr>
          <w:rFonts w:asciiTheme="majorHAnsi" w:hAnsiTheme="majorHAnsi" w:cstheme="majorHAnsi"/>
          <w:sz w:val="22"/>
        </w:rPr>
        <w:t>ordre que celui</w:t>
      </w:r>
      <w:r w:rsidR="000861EA" w:rsidRPr="00BA0D80">
        <w:rPr>
          <w:rFonts w:asciiTheme="majorHAnsi" w:hAnsiTheme="majorHAnsi" w:cstheme="majorHAnsi"/>
          <w:sz w:val="22"/>
        </w:rPr>
        <w:t xml:space="preserve"> d</w:t>
      </w:r>
      <w:r w:rsidR="00813A1D" w:rsidRPr="00BA0D80">
        <w:rPr>
          <w:rFonts w:asciiTheme="majorHAnsi" w:hAnsiTheme="majorHAnsi" w:cstheme="majorHAnsi"/>
          <w:sz w:val="22"/>
        </w:rPr>
        <w:t xml:space="preserve">es </w:t>
      </w:r>
      <w:r w:rsidR="00451A9C" w:rsidRPr="00BA0D80">
        <w:rPr>
          <w:rFonts w:asciiTheme="majorHAnsi" w:hAnsiTheme="majorHAnsi" w:cstheme="majorHAnsi"/>
          <w:sz w:val="22"/>
        </w:rPr>
        <w:t xml:space="preserve">deux </w:t>
      </w:r>
      <w:r w:rsidR="00CF070D" w:rsidRPr="00BA0D80">
        <w:rPr>
          <w:rFonts w:asciiTheme="majorHAnsi" w:hAnsiTheme="majorHAnsi" w:cstheme="majorHAnsi"/>
          <w:sz w:val="22"/>
        </w:rPr>
        <w:t xml:space="preserve">dernières </w:t>
      </w:r>
      <w:r w:rsidR="00813A1D" w:rsidRPr="00BA0D80">
        <w:rPr>
          <w:rFonts w:asciiTheme="majorHAnsi" w:hAnsiTheme="majorHAnsi" w:cstheme="majorHAnsi"/>
          <w:sz w:val="22"/>
        </w:rPr>
        <w:t>années.</w:t>
      </w:r>
    </w:p>
    <w:p w14:paraId="126C72C2" w14:textId="7C467C10" w:rsidR="00813A1D" w:rsidRPr="00BA0D80" w:rsidRDefault="00813A1D" w:rsidP="001E0D14">
      <w:pPr>
        <w:pStyle w:val="Contenu"/>
        <w:rPr>
          <w:rFonts w:asciiTheme="majorHAnsi" w:hAnsiTheme="majorHAnsi" w:cstheme="majorHAnsi"/>
          <w:sz w:val="22"/>
        </w:rPr>
      </w:pPr>
      <w:r w:rsidRPr="00BA0D80">
        <w:rPr>
          <w:rFonts w:asciiTheme="majorHAnsi" w:hAnsiTheme="majorHAnsi" w:cstheme="majorHAnsi"/>
          <w:sz w:val="22"/>
        </w:rPr>
        <w:t xml:space="preserve">En effet, nous avons connu une forte </w:t>
      </w:r>
      <w:r w:rsidR="0024493C" w:rsidRPr="00BA0D80">
        <w:rPr>
          <w:rFonts w:asciiTheme="majorHAnsi" w:hAnsiTheme="majorHAnsi" w:cstheme="majorHAnsi"/>
          <w:sz w:val="22"/>
        </w:rPr>
        <w:t>volatilité</w:t>
      </w:r>
      <w:r w:rsidRPr="00BA0D80">
        <w:rPr>
          <w:rFonts w:asciiTheme="majorHAnsi" w:hAnsiTheme="majorHAnsi" w:cstheme="majorHAnsi"/>
          <w:sz w:val="22"/>
        </w:rPr>
        <w:t xml:space="preserve"> d</w:t>
      </w:r>
      <w:r w:rsidR="0019732A">
        <w:rPr>
          <w:rFonts w:asciiTheme="majorHAnsi" w:hAnsiTheme="majorHAnsi" w:cstheme="majorHAnsi"/>
          <w:sz w:val="22"/>
        </w:rPr>
        <w:t>û</w:t>
      </w:r>
      <w:r w:rsidRPr="00BA0D80">
        <w:rPr>
          <w:rFonts w:asciiTheme="majorHAnsi" w:hAnsiTheme="majorHAnsi" w:cstheme="majorHAnsi"/>
          <w:sz w:val="22"/>
        </w:rPr>
        <w:t xml:space="preserve"> au covid, avec </w:t>
      </w:r>
      <w:r w:rsidR="00B61CFB" w:rsidRPr="00BA0D80">
        <w:rPr>
          <w:rFonts w:asciiTheme="majorHAnsi" w:hAnsiTheme="majorHAnsi" w:cstheme="majorHAnsi"/>
          <w:sz w:val="22"/>
        </w:rPr>
        <w:t>des fortes hausses sur les indices</w:t>
      </w:r>
      <w:r w:rsidR="0018061F" w:rsidRPr="00BA0D80">
        <w:rPr>
          <w:rFonts w:asciiTheme="majorHAnsi" w:hAnsiTheme="majorHAnsi" w:cstheme="majorHAnsi"/>
          <w:sz w:val="22"/>
        </w:rPr>
        <w:t xml:space="preserve"> en fin d’année, d</w:t>
      </w:r>
      <w:r w:rsidR="000861EA" w:rsidRPr="00BA0D80">
        <w:rPr>
          <w:rFonts w:asciiTheme="majorHAnsi" w:hAnsiTheme="majorHAnsi" w:cstheme="majorHAnsi"/>
          <w:sz w:val="22"/>
        </w:rPr>
        <w:t>û</w:t>
      </w:r>
      <w:r w:rsidR="0018061F" w:rsidRPr="00BA0D80">
        <w:rPr>
          <w:rFonts w:asciiTheme="majorHAnsi" w:hAnsiTheme="majorHAnsi" w:cstheme="majorHAnsi"/>
          <w:sz w:val="22"/>
        </w:rPr>
        <w:t xml:space="preserve"> </w:t>
      </w:r>
      <w:r w:rsidR="00D15843" w:rsidRPr="00BA0D80">
        <w:rPr>
          <w:rFonts w:asciiTheme="majorHAnsi" w:hAnsiTheme="majorHAnsi" w:cstheme="majorHAnsi"/>
          <w:sz w:val="22"/>
        </w:rPr>
        <w:t>aux interve</w:t>
      </w:r>
      <w:r w:rsidR="00E57692" w:rsidRPr="00BA0D80">
        <w:rPr>
          <w:rFonts w:asciiTheme="majorHAnsi" w:hAnsiTheme="majorHAnsi" w:cstheme="majorHAnsi"/>
          <w:sz w:val="22"/>
        </w:rPr>
        <w:t>n</w:t>
      </w:r>
      <w:r w:rsidR="00D15843" w:rsidRPr="00BA0D80">
        <w:rPr>
          <w:rFonts w:asciiTheme="majorHAnsi" w:hAnsiTheme="majorHAnsi" w:cstheme="majorHAnsi"/>
          <w:sz w:val="22"/>
        </w:rPr>
        <w:t xml:space="preserve">tions des </w:t>
      </w:r>
      <w:r w:rsidR="00C271D2" w:rsidRPr="00BA0D80">
        <w:rPr>
          <w:rFonts w:asciiTheme="majorHAnsi" w:hAnsiTheme="majorHAnsi" w:cstheme="majorHAnsi"/>
          <w:sz w:val="22"/>
        </w:rPr>
        <w:t xml:space="preserve">états et banques centrales et au </w:t>
      </w:r>
      <w:r w:rsidR="0018061F" w:rsidRPr="00BA0D80">
        <w:rPr>
          <w:rFonts w:asciiTheme="majorHAnsi" w:hAnsiTheme="majorHAnsi" w:cstheme="majorHAnsi"/>
          <w:sz w:val="22"/>
        </w:rPr>
        <w:t xml:space="preserve">soulagement </w:t>
      </w:r>
      <w:r w:rsidR="00F95578" w:rsidRPr="00BA0D80">
        <w:rPr>
          <w:rFonts w:asciiTheme="majorHAnsi" w:hAnsiTheme="majorHAnsi" w:cstheme="majorHAnsi"/>
          <w:sz w:val="22"/>
        </w:rPr>
        <w:t>d’avoir évité le pire.</w:t>
      </w:r>
    </w:p>
    <w:p w14:paraId="06B26119" w14:textId="223A5999" w:rsidR="00B61CFB" w:rsidRPr="00BA0D80" w:rsidRDefault="0024493C" w:rsidP="001E0D14">
      <w:pPr>
        <w:pStyle w:val="Contenu"/>
        <w:rPr>
          <w:rFonts w:asciiTheme="majorHAnsi" w:hAnsiTheme="majorHAnsi" w:cstheme="majorHAnsi"/>
          <w:sz w:val="22"/>
        </w:rPr>
      </w:pPr>
      <w:r w:rsidRPr="00BA0D80">
        <w:rPr>
          <w:rFonts w:asciiTheme="majorHAnsi" w:hAnsiTheme="majorHAnsi" w:cstheme="majorHAnsi"/>
          <w:sz w:val="22"/>
        </w:rPr>
        <w:t>Nous pensons que nous nous dirigeons vers la fin du</w:t>
      </w:r>
      <w:r w:rsidR="00F95578" w:rsidRPr="00BA0D80">
        <w:rPr>
          <w:rFonts w:asciiTheme="majorHAnsi" w:hAnsiTheme="majorHAnsi" w:cstheme="majorHAnsi"/>
          <w:sz w:val="22"/>
        </w:rPr>
        <w:t xml:space="preserve"> cycle</w:t>
      </w:r>
      <w:r w:rsidRPr="00BA0D80">
        <w:rPr>
          <w:rFonts w:asciiTheme="majorHAnsi" w:hAnsiTheme="majorHAnsi" w:cstheme="majorHAnsi"/>
          <w:sz w:val="22"/>
        </w:rPr>
        <w:t xml:space="preserve"> </w:t>
      </w:r>
      <w:r w:rsidR="009159FA" w:rsidRPr="00BA0D80">
        <w:rPr>
          <w:rFonts w:asciiTheme="majorHAnsi" w:hAnsiTheme="majorHAnsi" w:cstheme="majorHAnsi"/>
          <w:sz w:val="22"/>
        </w:rPr>
        <w:t xml:space="preserve">« </w:t>
      </w:r>
      <w:proofErr w:type="spellStart"/>
      <w:r w:rsidR="009159FA" w:rsidRPr="00BA0D80">
        <w:rPr>
          <w:rFonts w:asciiTheme="majorHAnsi" w:hAnsiTheme="majorHAnsi" w:cstheme="majorHAnsi"/>
          <w:sz w:val="22"/>
        </w:rPr>
        <w:t>easy</w:t>
      </w:r>
      <w:proofErr w:type="spellEnd"/>
      <w:r w:rsidR="009159FA" w:rsidRPr="00BA0D80">
        <w:rPr>
          <w:rFonts w:asciiTheme="majorHAnsi" w:hAnsiTheme="majorHAnsi" w:cstheme="majorHAnsi"/>
          <w:sz w:val="22"/>
        </w:rPr>
        <w:t xml:space="preserve"> money ».</w:t>
      </w:r>
    </w:p>
    <w:p w14:paraId="76AD0A28" w14:textId="77777777" w:rsidR="008E3616" w:rsidRPr="00BA0D80" w:rsidRDefault="008E3616" w:rsidP="008E3616">
      <w:pPr>
        <w:pStyle w:val="Contenu"/>
        <w:rPr>
          <w:rFonts w:asciiTheme="majorHAnsi" w:hAnsiTheme="majorHAnsi" w:cstheme="majorHAnsi"/>
          <w:sz w:val="22"/>
        </w:rPr>
      </w:pPr>
      <w:r w:rsidRPr="00BA0D80">
        <w:rPr>
          <w:rFonts w:asciiTheme="majorHAnsi" w:hAnsiTheme="majorHAnsi" w:cstheme="majorHAnsi"/>
          <w:sz w:val="22"/>
        </w:rPr>
        <w:t xml:space="preserve">Nous pensons que nous devrions avoir un retour à la normale des comportements des marchés (bien évidement s’il </w:t>
      </w:r>
      <w:proofErr w:type="gramStart"/>
      <w:r w:rsidRPr="00BA0D80">
        <w:rPr>
          <w:rFonts w:asciiTheme="majorHAnsi" w:hAnsiTheme="majorHAnsi" w:cstheme="majorHAnsi"/>
          <w:sz w:val="22"/>
        </w:rPr>
        <w:t>n y</w:t>
      </w:r>
      <w:proofErr w:type="gramEnd"/>
      <w:r w:rsidRPr="00BA0D80">
        <w:rPr>
          <w:rFonts w:asciiTheme="majorHAnsi" w:hAnsiTheme="majorHAnsi" w:cstheme="majorHAnsi"/>
          <w:sz w:val="22"/>
        </w:rPr>
        <w:t xml:space="preserve"> a pas de d’aggravation de la crise sanitaire).</w:t>
      </w:r>
    </w:p>
    <w:p w14:paraId="676BAA66" w14:textId="0EAD7D07" w:rsidR="008E3616" w:rsidRPr="00BA0D80" w:rsidRDefault="008E3616" w:rsidP="008E3616">
      <w:pPr>
        <w:pStyle w:val="Contenu"/>
        <w:rPr>
          <w:rFonts w:asciiTheme="majorHAnsi" w:hAnsiTheme="majorHAnsi" w:cstheme="majorHAnsi"/>
          <w:sz w:val="22"/>
        </w:rPr>
      </w:pPr>
      <w:r w:rsidRPr="00BA0D80">
        <w:rPr>
          <w:rFonts w:asciiTheme="majorHAnsi" w:hAnsiTheme="majorHAnsi" w:cstheme="majorHAnsi"/>
          <w:sz w:val="22"/>
        </w:rPr>
        <w:t xml:space="preserve">Le consensus des analystes </w:t>
      </w:r>
      <w:r w:rsidR="00637CC9" w:rsidRPr="00BA0D80">
        <w:rPr>
          <w:rFonts w:asciiTheme="majorHAnsi" w:hAnsiTheme="majorHAnsi" w:cstheme="majorHAnsi"/>
          <w:sz w:val="22"/>
        </w:rPr>
        <w:t>table</w:t>
      </w:r>
      <w:r w:rsidRPr="00BA0D80">
        <w:rPr>
          <w:rFonts w:asciiTheme="majorHAnsi" w:hAnsiTheme="majorHAnsi" w:cstheme="majorHAnsi"/>
          <w:sz w:val="22"/>
        </w:rPr>
        <w:t xml:space="preserve"> pour </w:t>
      </w:r>
      <w:r w:rsidR="00123997">
        <w:rPr>
          <w:rFonts w:asciiTheme="majorHAnsi" w:hAnsiTheme="majorHAnsi" w:cstheme="majorHAnsi"/>
          <w:sz w:val="22"/>
        </w:rPr>
        <w:t>le</w:t>
      </w:r>
      <w:r w:rsidRPr="00BA0D80">
        <w:rPr>
          <w:rFonts w:asciiTheme="majorHAnsi" w:hAnsiTheme="majorHAnsi" w:cstheme="majorHAnsi"/>
          <w:sz w:val="22"/>
        </w:rPr>
        <w:t xml:space="preserve"> S&amp;P 500 </w:t>
      </w:r>
      <w:r w:rsidR="0019732A">
        <w:rPr>
          <w:rFonts w:asciiTheme="majorHAnsi" w:hAnsiTheme="majorHAnsi" w:cstheme="majorHAnsi"/>
          <w:sz w:val="22"/>
        </w:rPr>
        <w:t>sur une performance comprise</w:t>
      </w:r>
      <w:r w:rsidRPr="00BA0D80">
        <w:rPr>
          <w:rFonts w:asciiTheme="majorHAnsi" w:hAnsiTheme="majorHAnsi" w:cstheme="majorHAnsi"/>
          <w:sz w:val="22"/>
        </w:rPr>
        <w:t xml:space="preserve"> entre +</w:t>
      </w:r>
      <w:r w:rsidR="00863705">
        <w:rPr>
          <w:rFonts w:asciiTheme="majorHAnsi" w:hAnsiTheme="majorHAnsi" w:cstheme="majorHAnsi"/>
          <w:sz w:val="22"/>
        </w:rPr>
        <w:t>6</w:t>
      </w:r>
      <w:r w:rsidRPr="00BA0D80">
        <w:rPr>
          <w:rFonts w:asciiTheme="majorHAnsi" w:hAnsiTheme="majorHAnsi" w:cstheme="majorHAnsi"/>
          <w:sz w:val="22"/>
        </w:rPr>
        <w:t>% et – 5% pour 2022. Nous partageons cette vue de marché.</w:t>
      </w:r>
    </w:p>
    <w:p w14:paraId="391506A7" w14:textId="77777777" w:rsidR="008E3616" w:rsidRPr="00BA0D80" w:rsidRDefault="008E3616" w:rsidP="001E0D14">
      <w:pPr>
        <w:pStyle w:val="Contenu"/>
        <w:rPr>
          <w:rFonts w:asciiTheme="majorHAnsi" w:hAnsiTheme="majorHAnsi" w:cstheme="majorHAnsi"/>
          <w:sz w:val="22"/>
        </w:rPr>
      </w:pPr>
    </w:p>
    <w:p w14:paraId="2D5A663A" w14:textId="77777777" w:rsidR="00CF070D" w:rsidRPr="00BA0D80" w:rsidRDefault="00CF070D" w:rsidP="001E0D14">
      <w:pPr>
        <w:pStyle w:val="Contenu"/>
        <w:rPr>
          <w:rFonts w:asciiTheme="majorHAnsi" w:hAnsiTheme="majorHAnsi" w:cstheme="majorHAnsi"/>
          <w:sz w:val="22"/>
        </w:rPr>
      </w:pPr>
    </w:p>
    <w:p w14:paraId="3BADCD78" w14:textId="4978762D" w:rsidR="00F101E5" w:rsidRPr="00BA0D80" w:rsidRDefault="00F101E5" w:rsidP="001E0D14">
      <w:pPr>
        <w:pStyle w:val="Contenu"/>
        <w:rPr>
          <w:rFonts w:asciiTheme="majorHAnsi" w:hAnsiTheme="majorHAnsi" w:cstheme="majorHAnsi"/>
          <w:sz w:val="22"/>
        </w:rPr>
      </w:pPr>
      <w:r w:rsidRPr="00BA0D80">
        <w:rPr>
          <w:rFonts w:asciiTheme="majorHAnsi" w:hAnsiTheme="majorHAnsi" w:cstheme="majorHAnsi"/>
          <w:sz w:val="22"/>
        </w:rPr>
        <w:t xml:space="preserve">Les marchés seront </w:t>
      </w:r>
      <w:r w:rsidR="00C271D2" w:rsidRPr="00BA0D80">
        <w:rPr>
          <w:rFonts w:asciiTheme="majorHAnsi" w:hAnsiTheme="majorHAnsi" w:cstheme="majorHAnsi"/>
          <w:sz w:val="22"/>
        </w:rPr>
        <w:t xml:space="preserve">confrontés à plusieurs </w:t>
      </w:r>
      <w:r w:rsidR="00FE40C7" w:rsidRPr="00BA0D80">
        <w:rPr>
          <w:rFonts w:asciiTheme="majorHAnsi" w:hAnsiTheme="majorHAnsi" w:cstheme="majorHAnsi"/>
          <w:sz w:val="22"/>
        </w:rPr>
        <w:t>défis</w:t>
      </w:r>
      <w:r w:rsidR="00C271D2" w:rsidRPr="00BA0D80">
        <w:rPr>
          <w:rFonts w:asciiTheme="majorHAnsi" w:hAnsiTheme="majorHAnsi" w:cstheme="majorHAnsi"/>
          <w:sz w:val="22"/>
        </w:rPr>
        <w:t xml:space="preserve"> cette année :</w:t>
      </w:r>
    </w:p>
    <w:p w14:paraId="7218C9DB" w14:textId="77777777" w:rsidR="00FE40C7" w:rsidRPr="00BA0D80" w:rsidRDefault="00FE40C7" w:rsidP="001E0D14">
      <w:pPr>
        <w:pStyle w:val="Contenu"/>
        <w:rPr>
          <w:rFonts w:asciiTheme="majorHAnsi" w:hAnsiTheme="majorHAnsi" w:cstheme="majorHAnsi"/>
          <w:sz w:val="22"/>
        </w:rPr>
      </w:pPr>
    </w:p>
    <w:p w14:paraId="1C1DDD26" w14:textId="7F8F779D" w:rsidR="00FE40C7" w:rsidRPr="00BA0D80" w:rsidRDefault="00FE40C7" w:rsidP="001E0D14">
      <w:pPr>
        <w:pStyle w:val="Contenu"/>
        <w:rPr>
          <w:rFonts w:asciiTheme="majorHAnsi" w:hAnsiTheme="majorHAnsi" w:cstheme="majorHAnsi"/>
          <w:b/>
          <w:bCs/>
          <w:sz w:val="24"/>
          <w:szCs w:val="24"/>
          <w:u w:val="single"/>
        </w:rPr>
      </w:pPr>
      <w:r w:rsidRPr="00BA0D80">
        <w:rPr>
          <w:rFonts w:asciiTheme="majorHAnsi" w:hAnsiTheme="majorHAnsi" w:cstheme="majorHAnsi"/>
          <w:b/>
          <w:bCs/>
          <w:sz w:val="24"/>
          <w:szCs w:val="24"/>
          <w:u w:val="single"/>
        </w:rPr>
        <w:t>L’inflation :</w:t>
      </w:r>
    </w:p>
    <w:p w14:paraId="1A1CBF77" w14:textId="77777777" w:rsidR="008029CF" w:rsidRPr="00BA0D80" w:rsidRDefault="008029CF" w:rsidP="001E0D14">
      <w:pPr>
        <w:pStyle w:val="Contenu"/>
        <w:rPr>
          <w:rFonts w:asciiTheme="majorHAnsi" w:hAnsiTheme="majorHAnsi" w:cstheme="majorHAnsi"/>
          <w:b/>
          <w:bCs/>
          <w:sz w:val="24"/>
          <w:szCs w:val="24"/>
        </w:rPr>
      </w:pPr>
    </w:p>
    <w:p w14:paraId="3B601A69" w14:textId="77777777" w:rsidR="000B61DD" w:rsidRDefault="00FE40C7" w:rsidP="00FE40C7">
      <w:pPr>
        <w:pStyle w:val="Contenu"/>
        <w:rPr>
          <w:rFonts w:asciiTheme="majorHAnsi" w:hAnsiTheme="majorHAnsi" w:cstheme="majorHAnsi"/>
          <w:sz w:val="22"/>
          <w:shd w:val="clear" w:color="auto" w:fill="FFFFFF"/>
        </w:rPr>
      </w:pPr>
      <w:r w:rsidRPr="00BA0D80">
        <w:rPr>
          <w:rFonts w:asciiTheme="majorHAnsi" w:hAnsiTheme="majorHAnsi" w:cstheme="majorHAnsi"/>
          <w:sz w:val="22"/>
          <w:shd w:val="clear" w:color="auto" w:fill="FFFFFF"/>
        </w:rPr>
        <w:t xml:space="preserve">Le sujet vedette de l'automne est un peu mis en sourdine derrière la nouvelle vague pandémique. Les incertitudes énergétiques et les ruptures dans les chaînes d'approvisionnement demeurent. </w:t>
      </w:r>
    </w:p>
    <w:p w14:paraId="5E1AD394" w14:textId="70E1F912" w:rsidR="00FE40C7" w:rsidRPr="00BA0D80" w:rsidRDefault="00FE40C7" w:rsidP="00FE40C7">
      <w:pPr>
        <w:pStyle w:val="Contenu"/>
        <w:rPr>
          <w:rFonts w:asciiTheme="majorHAnsi" w:hAnsiTheme="majorHAnsi" w:cstheme="majorHAnsi"/>
          <w:sz w:val="22"/>
          <w:shd w:val="clear" w:color="auto" w:fill="FFFFFF"/>
        </w:rPr>
      </w:pPr>
      <w:r w:rsidRPr="00BA0D80">
        <w:rPr>
          <w:rFonts w:asciiTheme="majorHAnsi" w:hAnsiTheme="majorHAnsi" w:cstheme="majorHAnsi"/>
          <w:sz w:val="22"/>
          <w:shd w:val="clear" w:color="auto" w:fill="FFFFFF"/>
        </w:rPr>
        <w:t>Reste valable la différence entre l'Europe, où les tensions inflationnistes sont bien là mais devraient s'atténuer au cours de 2022, et les Etats-Unis où les tensions sont déjà transformées en réel processus inflationniste avec enclenchement de la boucle prix-salaires. Ainsi, nous pensons que les marchés obligataires seront plus fragiles que les marchés d'actions. </w:t>
      </w:r>
    </w:p>
    <w:p w14:paraId="01F67F4D" w14:textId="77777777" w:rsidR="00B72A28" w:rsidRPr="00BA0D80" w:rsidRDefault="00B72A28" w:rsidP="00FE40C7">
      <w:pPr>
        <w:pStyle w:val="Contenu"/>
        <w:rPr>
          <w:rFonts w:asciiTheme="majorHAnsi" w:hAnsiTheme="majorHAnsi" w:cstheme="majorHAnsi"/>
          <w:sz w:val="22"/>
          <w:u w:val="single"/>
          <w:shd w:val="clear" w:color="auto" w:fill="FFFFFF"/>
        </w:rPr>
      </w:pPr>
    </w:p>
    <w:p w14:paraId="544C81AF" w14:textId="39E606BF" w:rsidR="00B72A28" w:rsidRPr="00BA0D80" w:rsidRDefault="00B72A28" w:rsidP="00FE40C7">
      <w:pPr>
        <w:pStyle w:val="Contenu"/>
        <w:rPr>
          <w:rFonts w:asciiTheme="majorHAnsi" w:hAnsiTheme="majorHAnsi" w:cstheme="majorHAnsi"/>
          <w:b/>
          <w:bCs/>
          <w:sz w:val="24"/>
          <w:szCs w:val="24"/>
          <w:u w:val="single"/>
          <w:shd w:val="clear" w:color="auto" w:fill="FFFFFF"/>
        </w:rPr>
      </w:pPr>
      <w:r w:rsidRPr="00BA0D80">
        <w:rPr>
          <w:rFonts w:asciiTheme="majorHAnsi" w:hAnsiTheme="majorHAnsi" w:cstheme="majorHAnsi"/>
          <w:b/>
          <w:bCs/>
          <w:sz w:val="24"/>
          <w:szCs w:val="24"/>
          <w:u w:val="single"/>
          <w:shd w:val="clear" w:color="auto" w:fill="FFFFFF"/>
        </w:rPr>
        <w:t xml:space="preserve">La crise sanitaire encore et </w:t>
      </w:r>
      <w:r w:rsidR="00553DAE" w:rsidRPr="00BA0D80">
        <w:rPr>
          <w:rFonts w:asciiTheme="majorHAnsi" w:hAnsiTheme="majorHAnsi" w:cstheme="majorHAnsi"/>
          <w:b/>
          <w:bCs/>
          <w:sz w:val="24"/>
          <w:szCs w:val="24"/>
          <w:u w:val="single"/>
          <w:shd w:val="clear" w:color="auto" w:fill="FFFFFF"/>
        </w:rPr>
        <w:t>toujours</w:t>
      </w:r>
      <w:r w:rsidRPr="00BA0D80">
        <w:rPr>
          <w:rFonts w:asciiTheme="majorHAnsi" w:hAnsiTheme="majorHAnsi" w:cstheme="majorHAnsi"/>
          <w:b/>
          <w:bCs/>
          <w:sz w:val="24"/>
          <w:szCs w:val="24"/>
          <w:u w:val="single"/>
          <w:shd w:val="clear" w:color="auto" w:fill="FFFFFF"/>
        </w:rPr>
        <w:t> :</w:t>
      </w:r>
    </w:p>
    <w:p w14:paraId="4C523931" w14:textId="77777777" w:rsidR="008029CF" w:rsidRPr="00BA0D80" w:rsidRDefault="008029CF" w:rsidP="00FE40C7">
      <w:pPr>
        <w:pStyle w:val="Contenu"/>
        <w:rPr>
          <w:rFonts w:asciiTheme="majorHAnsi" w:hAnsiTheme="majorHAnsi" w:cstheme="majorHAnsi"/>
          <w:b/>
          <w:bCs/>
          <w:sz w:val="24"/>
          <w:szCs w:val="24"/>
          <w:shd w:val="clear" w:color="auto" w:fill="FFFFFF"/>
        </w:rPr>
      </w:pPr>
    </w:p>
    <w:p w14:paraId="2F3D0567" w14:textId="1C40D01F" w:rsidR="00B72A28" w:rsidRPr="00BA0D80" w:rsidRDefault="001302D5" w:rsidP="00FE40C7">
      <w:pPr>
        <w:pStyle w:val="Contenu"/>
        <w:rPr>
          <w:rFonts w:asciiTheme="majorHAnsi" w:hAnsiTheme="majorHAnsi" w:cstheme="majorHAnsi"/>
          <w:sz w:val="22"/>
        </w:rPr>
      </w:pPr>
      <w:r w:rsidRPr="00BA0D80">
        <w:rPr>
          <w:rFonts w:asciiTheme="majorHAnsi" w:hAnsiTheme="majorHAnsi" w:cstheme="majorHAnsi"/>
          <w:sz w:val="22"/>
          <w:shd w:val="clear" w:color="auto" w:fill="FFFFFF"/>
        </w:rPr>
        <w:t xml:space="preserve">Le marché a appris à </w:t>
      </w:r>
      <w:r w:rsidR="00553DAE" w:rsidRPr="00BA0D80">
        <w:rPr>
          <w:rFonts w:asciiTheme="majorHAnsi" w:hAnsiTheme="majorHAnsi" w:cstheme="majorHAnsi"/>
          <w:sz w:val="22"/>
          <w:shd w:val="clear" w:color="auto" w:fill="FFFFFF"/>
        </w:rPr>
        <w:t>dealer</w:t>
      </w:r>
      <w:r w:rsidRPr="00BA0D80">
        <w:rPr>
          <w:rFonts w:asciiTheme="majorHAnsi" w:hAnsiTheme="majorHAnsi" w:cstheme="majorHAnsi"/>
          <w:sz w:val="22"/>
          <w:shd w:val="clear" w:color="auto" w:fill="FFFFFF"/>
        </w:rPr>
        <w:t xml:space="preserve"> avec le virus, reste à savoir si </w:t>
      </w:r>
      <w:r w:rsidRPr="00BA0D80">
        <w:rPr>
          <w:rFonts w:asciiTheme="majorHAnsi" w:hAnsiTheme="majorHAnsi" w:cstheme="majorHAnsi"/>
          <w:sz w:val="22"/>
        </w:rPr>
        <w:t xml:space="preserve">c’est </w:t>
      </w:r>
      <w:r w:rsidR="00B72A28" w:rsidRPr="00BA0D80">
        <w:rPr>
          <w:rFonts w:asciiTheme="majorHAnsi" w:hAnsiTheme="majorHAnsi" w:cstheme="majorHAnsi"/>
          <w:sz w:val="22"/>
          <w:shd w:val="clear" w:color="auto" w:fill="FFFFFF"/>
        </w:rPr>
        <w:t xml:space="preserve">la fin du covid, grâce </w:t>
      </w:r>
      <w:r w:rsidR="00707962" w:rsidRPr="00BA0D80">
        <w:rPr>
          <w:rFonts w:asciiTheme="majorHAnsi" w:hAnsiTheme="majorHAnsi" w:cstheme="majorHAnsi"/>
          <w:sz w:val="22"/>
          <w:shd w:val="clear" w:color="auto" w:fill="FFFFFF"/>
        </w:rPr>
        <w:t xml:space="preserve">au variant </w:t>
      </w:r>
      <w:r w:rsidR="002871A2" w:rsidRPr="00BA0D80">
        <w:rPr>
          <w:rFonts w:asciiTheme="majorHAnsi" w:hAnsiTheme="majorHAnsi" w:cstheme="majorHAnsi"/>
          <w:sz w:val="22"/>
          <w:shd w:val="clear" w:color="auto" w:fill="FFFFFF"/>
        </w:rPr>
        <w:t>Omicron</w:t>
      </w:r>
      <w:r w:rsidR="00707962" w:rsidRPr="00BA0D80">
        <w:rPr>
          <w:rFonts w:asciiTheme="majorHAnsi" w:hAnsiTheme="majorHAnsi" w:cstheme="majorHAnsi"/>
          <w:sz w:val="22"/>
          <w:shd w:val="clear" w:color="auto" w:fill="FFFFFF"/>
        </w:rPr>
        <w:t>, plus contagieux et moins virulent, pouvant offrir une immunité à la population, ou le début d’un cycle de nouveau</w:t>
      </w:r>
      <w:r w:rsidR="00EB5168" w:rsidRPr="00BA0D80">
        <w:rPr>
          <w:rFonts w:asciiTheme="majorHAnsi" w:hAnsiTheme="majorHAnsi" w:cstheme="majorHAnsi"/>
          <w:sz w:val="22"/>
          <w:shd w:val="clear" w:color="auto" w:fill="FFFFFF"/>
        </w:rPr>
        <w:t>x</w:t>
      </w:r>
      <w:r w:rsidR="00707962" w:rsidRPr="00BA0D80">
        <w:rPr>
          <w:rFonts w:asciiTheme="majorHAnsi" w:hAnsiTheme="majorHAnsi" w:cstheme="majorHAnsi"/>
          <w:sz w:val="22"/>
          <w:shd w:val="clear" w:color="auto" w:fill="FFFFFF"/>
        </w:rPr>
        <w:t xml:space="preserve"> </w:t>
      </w:r>
      <w:r w:rsidR="002871A2" w:rsidRPr="00BA0D80">
        <w:rPr>
          <w:rFonts w:asciiTheme="majorHAnsi" w:hAnsiTheme="majorHAnsi" w:cstheme="majorHAnsi"/>
          <w:sz w:val="22"/>
          <w:shd w:val="clear" w:color="auto" w:fill="FFFFFF"/>
        </w:rPr>
        <w:t>variants,</w:t>
      </w:r>
      <w:r w:rsidR="00B85564" w:rsidRPr="00BA0D80">
        <w:rPr>
          <w:rFonts w:asciiTheme="majorHAnsi" w:hAnsiTheme="majorHAnsi" w:cstheme="majorHAnsi"/>
          <w:sz w:val="22"/>
          <w:shd w:val="clear" w:color="auto" w:fill="FFFFFF"/>
        </w:rPr>
        <w:t xml:space="preserve"> </w:t>
      </w:r>
      <w:r w:rsidR="00EB5168" w:rsidRPr="00BA0D80">
        <w:rPr>
          <w:rFonts w:asciiTheme="majorHAnsi" w:hAnsiTheme="majorHAnsi" w:cstheme="majorHAnsi"/>
          <w:sz w:val="22"/>
          <w:shd w:val="clear" w:color="auto" w:fill="FFFFFF"/>
        </w:rPr>
        <w:t>plus contagieux et peut être plus virulent</w:t>
      </w:r>
      <w:r w:rsidR="002871A2" w:rsidRPr="00BA0D80">
        <w:rPr>
          <w:rFonts w:asciiTheme="majorHAnsi" w:hAnsiTheme="majorHAnsi" w:cstheme="majorHAnsi"/>
          <w:sz w:val="22"/>
          <w:shd w:val="clear" w:color="auto" w:fill="FFFFFF"/>
        </w:rPr>
        <w:t>s</w:t>
      </w:r>
      <w:r w:rsidR="00707962" w:rsidRPr="00BA0D80">
        <w:rPr>
          <w:rFonts w:asciiTheme="majorHAnsi" w:hAnsiTheme="majorHAnsi" w:cstheme="majorHAnsi"/>
          <w:sz w:val="22"/>
          <w:shd w:val="clear" w:color="auto" w:fill="FFFFFF"/>
        </w:rPr>
        <w:t> ?</w:t>
      </w:r>
    </w:p>
    <w:p w14:paraId="3C9292E9" w14:textId="77777777" w:rsidR="00FE40C7" w:rsidRPr="00BA0D80" w:rsidRDefault="00FE40C7" w:rsidP="001E0D14">
      <w:pPr>
        <w:pStyle w:val="Contenu"/>
        <w:rPr>
          <w:rFonts w:asciiTheme="majorHAnsi" w:hAnsiTheme="majorHAnsi" w:cstheme="majorHAnsi"/>
          <w:sz w:val="22"/>
          <w:shd w:val="clear" w:color="auto" w:fill="FFFFFF"/>
        </w:rPr>
      </w:pPr>
    </w:p>
    <w:p w14:paraId="75941D99" w14:textId="7B9D0ED8" w:rsidR="001D63DA" w:rsidRPr="00BA0D80" w:rsidRDefault="001D63DA" w:rsidP="001E0D14">
      <w:pPr>
        <w:pStyle w:val="Contenu"/>
        <w:rPr>
          <w:rFonts w:asciiTheme="majorHAnsi" w:hAnsiTheme="majorHAnsi" w:cstheme="majorHAnsi"/>
          <w:b/>
          <w:bCs/>
          <w:sz w:val="24"/>
          <w:szCs w:val="24"/>
          <w:u w:val="single"/>
          <w:shd w:val="clear" w:color="auto" w:fill="FFFFFF"/>
        </w:rPr>
      </w:pPr>
      <w:r w:rsidRPr="00BA0D80">
        <w:rPr>
          <w:rFonts w:asciiTheme="majorHAnsi" w:hAnsiTheme="majorHAnsi" w:cstheme="majorHAnsi"/>
          <w:b/>
          <w:bCs/>
          <w:sz w:val="24"/>
          <w:szCs w:val="24"/>
          <w:u w:val="single"/>
          <w:shd w:val="clear" w:color="auto" w:fill="FFFFFF"/>
        </w:rPr>
        <w:t xml:space="preserve">Les </w:t>
      </w:r>
      <w:r w:rsidR="00553DAE" w:rsidRPr="00BA0D80">
        <w:rPr>
          <w:rFonts w:asciiTheme="majorHAnsi" w:hAnsiTheme="majorHAnsi" w:cstheme="majorHAnsi"/>
          <w:b/>
          <w:bCs/>
          <w:sz w:val="24"/>
          <w:szCs w:val="24"/>
          <w:u w:val="single"/>
          <w:shd w:val="clear" w:color="auto" w:fill="FFFFFF"/>
        </w:rPr>
        <w:t>élections</w:t>
      </w:r>
      <w:r w:rsidRPr="00BA0D80">
        <w:rPr>
          <w:rFonts w:asciiTheme="majorHAnsi" w:hAnsiTheme="majorHAnsi" w:cstheme="majorHAnsi"/>
          <w:b/>
          <w:bCs/>
          <w:sz w:val="24"/>
          <w:szCs w:val="24"/>
          <w:u w:val="single"/>
          <w:shd w:val="clear" w:color="auto" w:fill="FFFFFF"/>
        </w:rPr>
        <w:t xml:space="preserve"> présidentielles </w:t>
      </w:r>
      <w:r w:rsidR="00553DAE" w:rsidRPr="00BA0D80">
        <w:rPr>
          <w:rFonts w:asciiTheme="majorHAnsi" w:hAnsiTheme="majorHAnsi" w:cstheme="majorHAnsi"/>
          <w:b/>
          <w:bCs/>
          <w:sz w:val="24"/>
          <w:szCs w:val="24"/>
          <w:u w:val="single"/>
          <w:shd w:val="clear" w:color="auto" w:fill="FFFFFF"/>
        </w:rPr>
        <w:t>françaises</w:t>
      </w:r>
      <w:r w:rsidR="008029CF" w:rsidRPr="00BA0D80">
        <w:rPr>
          <w:rFonts w:asciiTheme="majorHAnsi" w:hAnsiTheme="majorHAnsi" w:cstheme="majorHAnsi"/>
          <w:b/>
          <w:bCs/>
          <w:sz w:val="24"/>
          <w:szCs w:val="24"/>
          <w:u w:val="single"/>
          <w:shd w:val="clear" w:color="auto" w:fill="FFFFFF"/>
        </w:rPr>
        <w:t xml:space="preserve"> </w:t>
      </w:r>
      <w:r w:rsidRPr="00BA0D80">
        <w:rPr>
          <w:rFonts w:asciiTheme="majorHAnsi" w:hAnsiTheme="majorHAnsi" w:cstheme="majorHAnsi"/>
          <w:b/>
          <w:bCs/>
          <w:sz w:val="24"/>
          <w:szCs w:val="24"/>
          <w:u w:val="single"/>
          <w:shd w:val="clear" w:color="auto" w:fill="FFFFFF"/>
        </w:rPr>
        <w:t>:</w:t>
      </w:r>
    </w:p>
    <w:p w14:paraId="2B41508A" w14:textId="77777777" w:rsidR="008029CF" w:rsidRPr="00BA0D80" w:rsidRDefault="008029CF" w:rsidP="001E0D14">
      <w:pPr>
        <w:pStyle w:val="Contenu"/>
        <w:rPr>
          <w:rFonts w:asciiTheme="majorHAnsi" w:hAnsiTheme="majorHAnsi" w:cstheme="majorHAnsi"/>
          <w:b/>
          <w:bCs/>
          <w:sz w:val="24"/>
          <w:szCs w:val="24"/>
          <w:shd w:val="clear" w:color="auto" w:fill="FFFFFF"/>
        </w:rPr>
      </w:pPr>
    </w:p>
    <w:p w14:paraId="1D6C3EC4" w14:textId="1E9236F4" w:rsidR="004A75A2" w:rsidRPr="00BA0D80" w:rsidRDefault="00B52A23" w:rsidP="001E0D14">
      <w:pPr>
        <w:pStyle w:val="Contenu"/>
        <w:rPr>
          <w:rFonts w:asciiTheme="majorHAnsi" w:hAnsiTheme="majorHAnsi" w:cstheme="majorHAnsi"/>
          <w:sz w:val="22"/>
          <w:shd w:val="clear" w:color="auto" w:fill="FFFFFF"/>
        </w:rPr>
      </w:pPr>
      <w:r w:rsidRPr="00BA0D80">
        <w:rPr>
          <w:rFonts w:asciiTheme="majorHAnsi" w:hAnsiTheme="majorHAnsi" w:cstheme="majorHAnsi"/>
          <w:sz w:val="22"/>
          <w:shd w:val="clear" w:color="auto" w:fill="FFFFFF"/>
        </w:rPr>
        <w:t xml:space="preserve">Cela n’a </w:t>
      </w:r>
      <w:r w:rsidR="00FB54E2" w:rsidRPr="00BA0D80">
        <w:rPr>
          <w:rFonts w:asciiTheme="majorHAnsi" w:hAnsiTheme="majorHAnsi" w:cstheme="majorHAnsi"/>
          <w:sz w:val="22"/>
          <w:shd w:val="clear" w:color="auto" w:fill="FFFFFF"/>
        </w:rPr>
        <w:t>jamais</w:t>
      </w:r>
      <w:r w:rsidRPr="00BA0D80">
        <w:rPr>
          <w:rFonts w:asciiTheme="majorHAnsi" w:hAnsiTheme="majorHAnsi" w:cstheme="majorHAnsi"/>
          <w:sz w:val="22"/>
          <w:shd w:val="clear" w:color="auto" w:fill="FFFFFF"/>
        </w:rPr>
        <w:t xml:space="preserve"> réellement influencé le comportement des marchés, nous ne pensons pas à part quelques ajustements </w:t>
      </w:r>
      <w:r w:rsidR="005D7BD2" w:rsidRPr="00BA0D80">
        <w:rPr>
          <w:rFonts w:asciiTheme="majorHAnsi" w:hAnsiTheme="majorHAnsi" w:cstheme="majorHAnsi"/>
          <w:sz w:val="22"/>
          <w:shd w:val="clear" w:color="auto" w:fill="FFFFFF"/>
        </w:rPr>
        <w:t>sectorielles à l’</w:t>
      </w:r>
      <w:r w:rsidR="00FB54E2" w:rsidRPr="00BA0D80">
        <w:rPr>
          <w:rFonts w:asciiTheme="majorHAnsi" w:hAnsiTheme="majorHAnsi" w:cstheme="majorHAnsi"/>
          <w:sz w:val="22"/>
          <w:shd w:val="clear" w:color="auto" w:fill="FFFFFF"/>
        </w:rPr>
        <w:t>intérieur</w:t>
      </w:r>
      <w:r w:rsidR="005D7BD2" w:rsidRPr="00BA0D80">
        <w:rPr>
          <w:rFonts w:asciiTheme="majorHAnsi" w:hAnsiTheme="majorHAnsi" w:cstheme="majorHAnsi"/>
          <w:sz w:val="22"/>
          <w:shd w:val="clear" w:color="auto" w:fill="FFFFFF"/>
        </w:rPr>
        <w:t xml:space="preserve"> du CAC 40, que cela </w:t>
      </w:r>
      <w:r w:rsidR="00FB54E2" w:rsidRPr="00BA0D80">
        <w:rPr>
          <w:rFonts w:asciiTheme="majorHAnsi" w:hAnsiTheme="majorHAnsi" w:cstheme="majorHAnsi"/>
          <w:sz w:val="22"/>
          <w:shd w:val="clear" w:color="auto" w:fill="FFFFFF"/>
        </w:rPr>
        <w:t>puisse</w:t>
      </w:r>
      <w:r w:rsidR="005D7BD2" w:rsidRPr="00BA0D80">
        <w:rPr>
          <w:rFonts w:asciiTheme="majorHAnsi" w:hAnsiTheme="majorHAnsi" w:cstheme="majorHAnsi"/>
          <w:sz w:val="22"/>
          <w:shd w:val="clear" w:color="auto" w:fill="FFFFFF"/>
        </w:rPr>
        <w:t xml:space="preserve"> influencer à moyen ou long terme </w:t>
      </w:r>
      <w:r w:rsidR="00B4075E" w:rsidRPr="00BA0D80">
        <w:rPr>
          <w:rFonts w:asciiTheme="majorHAnsi" w:hAnsiTheme="majorHAnsi" w:cstheme="majorHAnsi"/>
          <w:sz w:val="22"/>
          <w:shd w:val="clear" w:color="auto" w:fill="FFFFFF"/>
        </w:rPr>
        <w:t>le</w:t>
      </w:r>
      <w:r w:rsidR="00863705">
        <w:rPr>
          <w:rFonts w:asciiTheme="majorHAnsi" w:hAnsiTheme="majorHAnsi" w:cstheme="majorHAnsi"/>
          <w:sz w:val="22"/>
          <w:shd w:val="clear" w:color="auto" w:fill="FFFFFF"/>
        </w:rPr>
        <w:t xml:space="preserve">s indices boursiers </w:t>
      </w:r>
      <w:r w:rsidR="00024E48" w:rsidRPr="00BA0D80">
        <w:rPr>
          <w:rFonts w:asciiTheme="majorHAnsi" w:hAnsiTheme="majorHAnsi" w:cstheme="majorHAnsi"/>
          <w:sz w:val="22"/>
          <w:shd w:val="clear" w:color="auto" w:fill="FFFFFF"/>
        </w:rPr>
        <w:t xml:space="preserve">(sauf grosse </w:t>
      </w:r>
      <w:r w:rsidR="00FB54E2" w:rsidRPr="00BA0D80">
        <w:rPr>
          <w:rFonts w:asciiTheme="majorHAnsi" w:hAnsiTheme="majorHAnsi" w:cstheme="majorHAnsi"/>
          <w:sz w:val="22"/>
          <w:shd w:val="clear" w:color="auto" w:fill="FFFFFF"/>
        </w:rPr>
        <w:t>surprise</w:t>
      </w:r>
      <w:r w:rsidR="00024E48" w:rsidRPr="00BA0D80">
        <w:rPr>
          <w:rFonts w:asciiTheme="majorHAnsi" w:hAnsiTheme="majorHAnsi" w:cstheme="majorHAnsi"/>
          <w:sz w:val="22"/>
          <w:shd w:val="clear" w:color="auto" w:fill="FFFFFF"/>
        </w:rPr>
        <w:t xml:space="preserve"> avec une élection d’un parti des extrêmes)</w:t>
      </w:r>
      <w:r w:rsidR="00B4075E" w:rsidRPr="00BA0D80">
        <w:rPr>
          <w:rFonts w:asciiTheme="majorHAnsi" w:hAnsiTheme="majorHAnsi" w:cstheme="majorHAnsi"/>
          <w:sz w:val="22"/>
          <w:shd w:val="clear" w:color="auto" w:fill="FFFFFF"/>
        </w:rPr>
        <w:t>.</w:t>
      </w:r>
    </w:p>
    <w:p w14:paraId="66B104C6" w14:textId="77777777" w:rsidR="00EE56EB" w:rsidRPr="00BA0D80" w:rsidRDefault="00EE56EB" w:rsidP="001E0D14">
      <w:pPr>
        <w:pStyle w:val="Contenu"/>
        <w:rPr>
          <w:rFonts w:asciiTheme="majorHAnsi" w:hAnsiTheme="majorHAnsi" w:cstheme="majorHAnsi"/>
          <w:sz w:val="22"/>
          <w:shd w:val="clear" w:color="auto" w:fill="FFFFFF"/>
        </w:rPr>
      </w:pPr>
    </w:p>
    <w:p w14:paraId="6611B6E7" w14:textId="13D6531B" w:rsidR="00F45CDA" w:rsidRPr="00BA0D80" w:rsidRDefault="00EE56EB" w:rsidP="00F055F4">
      <w:pPr>
        <w:pStyle w:val="NormalWeb"/>
        <w:shd w:val="clear" w:color="auto" w:fill="FFFFFF"/>
        <w:spacing w:before="150" w:beforeAutospacing="0" w:after="300" w:afterAutospacing="0" w:line="375" w:lineRule="atLeast"/>
        <w:rPr>
          <w:rFonts w:asciiTheme="majorHAnsi" w:hAnsiTheme="majorHAnsi" w:cstheme="majorHAnsi"/>
          <w:b/>
          <w:bCs/>
          <w:color w:val="44546A" w:themeColor="text2"/>
          <w:u w:val="single"/>
        </w:rPr>
      </w:pPr>
      <w:r w:rsidRPr="00EE56EB">
        <w:rPr>
          <w:rFonts w:asciiTheme="majorHAnsi" w:hAnsiTheme="majorHAnsi" w:cstheme="majorHAnsi"/>
          <w:b/>
          <w:bCs/>
          <w:color w:val="44546A" w:themeColor="text2"/>
          <w:u w:val="single"/>
        </w:rPr>
        <w:t>La croissance</w:t>
      </w:r>
      <w:r w:rsidR="008029CF" w:rsidRPr="00BA0D80">
        <w:rPr>
          <w:rFonts w:asciiTheme="majorHAnsi" w:hAnsiTheme="majorHAnsi" w:cstheme="majorHAnsi"/>
          <w:b/>
          <w:bCs/>
          <w:color w:val="44546A" w:themeColor="text2"/>
          <w:u w:val="single"/>
        </w:rPr>
        <w:t xml:space="preserve"> :</w:t>
      </w:r>
    </w:p>
    <w:p w14:paraId="7E39E51B" w14:textId="17BCCAC4" w:rsidR="00A62A9D" w:rsidRPr="00BA0D80" w:rsidRDefault="00F055F4" w:rsidP="008E3616">
      <w:pPr>
        <w:pStyle w:val="NormalWeb"/>
        <w:shd w:val="clear" w:color="auto" w:fill="FFFFFF"/>
        <w:spacing w:before="150" w:beforeAutospacing="0" w:after="300" w:afterAutospacing="0" w:line="375" w:lineRule="atLeast"/>
        <w:rPr>
          <w:rFonts w:asciiTheme="majorHAnsi" w:hAnsiTheme="majorHAnsi" w:cstheme="majorHAnsi"/>
          <w:color w:val="44546A" w:themeColor="text2"/>
          <w:sz w:val="22"/>
          <w:szCs w:val="22"/>
        </w:rPr>
      </w:pPr>
      <w:r w:rsidRPr="00BA0D80">
        <w:rPr>
          <w:rFonts w:asciiTheme="majorHAnsi" w:hAnsiTheme="majorHAnsi" w:cstheme="majorHAnsi"/>
          <w:color w:val="44546A" w:themeColor="text2"/>
          <w:sz w:val="22"/>
          <w:szCs w:val="22"/>
        </w:rPr>
        <w:t xml:space="preserve">L’émergence du variant Omicron de la Covid-19 nous a rappelé que l’incertitude subsiste quant à l’évolution de la pandémie. Malgré tout, nous pensons que 2022 sera à nouveau une bonne année pour la croissance, l’économie mondiale poursuivant sa reprise. Toutefois, nous anticipons un ralentissement de la croissance après une année 2021 exceptionnelle, car l’important soutien apporté par les gouvernements et les banques centrales au début de la pandémie commence à </w:t>
      </w:r>
      <w:r w:rsidR="000861EA" w:rsidRPr="00BA0D80">
        <w:rPr>
          <w:rFonts w:asciiTheme="majorHAnsi" w:hAnsiTheme="majorHAnsi" w:cstheme="majorHAnsi"/>
          <w:color w:val="44546A" w:themeColor="text2"/>
          <w:sz w:val="22"/>
          <w:szCs w:val="22"/>
        </w:rPr>
        <w:t>diminuer. Les</w:t>
      </w:r>
      <w:r w:rsidRPr="00BA0D80">
        <w:rPr>
          <w:rFonts w:asciiTheme="majorHAnsi" w:hAnsiTheme="majorHAnsi" w:cstheme="majorHAnsi"/>
          <w:color w:val="44546A" w:themeColor="text2"/>
          <w:sz w:val="22"/>
          <w:szCs w:val="22"/>
        </w:rPr>
        <w:t xml:space="preserve"> estimations </w:t>
      </w:r>
      <w:r w:rsidRPr="00F055F4">
        <w:rPr>
          <w:rFonts w:asciiTheme="majorHAnsi" w:hAnsiTheme="majorHAnsi" w:cstheme="majorHAnsi"/>
          <w:color w:val="44546A" w:themeColor="text2"/>
          <w:sz w:val="22"/>
          <w:szCs w:val="22"/>
        </w:rPr>
        <w:t xml:space="preserve">du PIB mondial </w:t>
      </w:r>
      <w:r w:rsidRPr="00BA0D80">
        <w:rPr>
          <w:rFonts w:asciiTheme="majorHAnsi" w:hAnsiTheme="majorHAnsi" w:cstheme="majorHAnsi"/>
          <w:color w:val="44546A" w:themeColor="text2"/>
          <w:sz w:val="22"/>
          <w:szCs w:val="22"/>
        </w:rPr>
        <w:t>sont de l’ordre de 5/</w:t>
      </w:r>
      <w:r w:rsidRPr="00F055F4">
        <w:rPr>
          <w:rFonts w:asciiTheme="majorHAnsi" w:hAnsiTheme="majorHAnsi" w:cstheme="majorHAnsi"/>
          <w:color w:val="44546A" w:themeColor="text2"/>
          <w:sz w:val="22"/>
          <w:szCs w:val="22"/>
        </w:rPr>
        <w:t xml:space="preserve"> 5,</w:t>
      </w:r>
      <w:r w:rsidRPr="00BA0D80">
        <w:rPr>
          <w:rFonts w:asciiTheme="majorHAnsi" w:hAnsiTheme="majorHAnsi" w:cstheme="majorHAnsi"/>
          <w:color w:val="44546A" w:themeColor="text2"/>
          <w:sz w:val="22"/>
          <w:szCs w:val="22"/>
        </w:rPr>
        <w:t>5</w:t>
      </w:r>
      <w:r w:rsidRPr="00F055F4">
        <w:rPr>
          <w:rFonts w:asciiTheme="majorHAnsi" w:hAnsiTheme="majorHAnsi" w:cstheme="majorHAnsi"/>
          <w:color w:val="44546A" w:themeColor="text2"/>
          <w:sz w:val="22"/>
          <w:szCs w:val="22"/>
        </w:rPr>
        <w:t xml:space="preserve"> % </w:t>
      </w:r>
      <w:r w:rsidRPr="00BA0D80">
        <w:rPr>
          <w:rFonts w:asciiTheme="majorHAnsi" w:hAnsiTheme="majorHAnsi" w:cstheme="majorHAnsi"/>
          <w:color w:val="44546A" w:themeColor="text2"/>
          <w:sz w:val="22"/>
          <w:szCs w:val="22"/>
        </w:rPr>
        <w:t>pour</w:t>
      </w:r>
      <w:r w:rsidRPr="00F055F4">
        <w:rPr>
          <w:rFonts w:asciiTheme="majorHAnsi" w:hAnsiTheme="majorHAnsi" w:cstheme="majorHAnsi"/>
          <w:color w:val="44546A" w:themeColor="text2"/>
          <w:sz w:val="22"/>
          <w:szCs w:val="22"/>
        </w:rPr>
        <w:t xml:space="preserve"> 2021, </w:t>
      </w:r>
      <w:r w:rsidRPr="00BA0D80">
        <w:rPr>
          <w:rFonts w:asciiTheme="majorHAnsi" w:hAnsiTheme="majorHAnsi" w:cstheme="majorHAnsi"/>
          <w:color w:val="44546A" w:themeColor="text2"/>
          <w:sz w:val="22"/>
          <w:szCs w:val="22"/>
        </w:rPr>
        <w:t>et de</w:t>
      </w:r>
      <w:r w:rsidRPr="00F055F4">
        <w:rPr>
          <w:rFonts w:asciiTheme="majorHAnsi" w:hAnsiTheme="majorHAnsi" w:cstheme="majorHAnsi"/>
          <w:color w:val="44546A" w:themeColor="text2"/>
          <w:sz w:val="22"/>
          <w:szCs w:val="22"/>
        </w:rPr>
        <w:t xml:space="preserve"> 4,0 % </w:t>
      </w:r>
      <w:r w:rsidRPr="00BA0D80">
        <w:rPr>
          <w:rFonts w:asciiTheme="majorHAnsi" w:hAnsiTheme="majorHAnsi" w:cstheme="majorHAnsi"/>
          <w:color w:val="44546A" w:themeColor="text2"/>
          <w:sz w:val="22"/>
          <w:szCs w:val="22"/>
        </w:rPr>
        <w:t>pour</w:t>
      </w:r>
      <w:r w:rsidRPr="00F055F4">
        <w:rPr>
          <w:rFonts w:asciiTheme="majorHAnsi" w:hAnsiTheme="majorHAnsi" w:cstheme="majorHAnsi"/>
          <w:color w:val="44546A" w:themeColor="text2"/>
          <w:sz w:val="22"/>
          <w:szCs w:val="22"/>
        </w:rPr>
        <w:t xml:space="preserve"> 2022. </w:t>
      </w:r>
    </w:p>
    <w:p w14:paraId="377EBDBC" w14:textId="77777777" w:rsidR="009159FA" w:rsidRPr="00BA0D80" w:rsidRDefault="009159FA" w:rsidP="001E0D14">
      <w:pPr>
        <w:pStyle w:val="Contenu"/>
        <w:rPr>
          <w:rFonts w:asciiTheme="majorHAnsi" w:hAnsiTheme="majorHAnsi" w:cstheme="majorHAnsi"/>
          <w:sz w:val="22"/>
        </w:rPr>
      </w:pPr>
    </w:p>
    <w:p w14:paraId="48670137" w14:textId="77777777" w:rsidR="000B4532" w:rsidRPr="00BA0D80" w:rsidRDefault="000B4532" w:rsidP="001E0D14">
      <w:pPr>
        <w:pStyle w:val="Contenu"/>
        <w:rPr>
          <w:rFonts w:asciiTheme="majorHAnsi" w:hAnsiTheme="majorHAnsi" w:cstheme="majorHAnsi"/>
          <w:sz w:val="22"/>
        </w:rPr>
      </w:pPr>
    </w:p>
    <w:p w14:paraId="27868775" w14:textId="27B60C8D" w:rsidR="001E0D14" w:rsidRPr="00BA0D80" w:rsidRDefault="00AE74D9" w:rsidP="001E0D14">
      <w:pPr>
        <w:pStyle w:val="Contenu"/>
        <w:rPr>
          <w:rFonts w:asciiTheme="majorHAnsi" w:hAnsiTheme="majorHAnsi" w:cstheme="majorHAnsi"/>
          <w:sz w:val="22"/>
        </w:rPr>
      </w:pPr>
      <w:r w:rsidRPr="00BA0D80">
        <w:rPr>
          <w:rFonts w:asciiTheme="majorHAnsi" w:hAnsiTheme="majorHAnsi" w:cstheme="majorHAnsi"/>
          <w:sz w:val="22"/>
        </w:rPr>
        <w:t>N</w:t>
      </w:r>
      <w:r w:rsidR="001E0D14" w:rsidRPr="00BA0D80">
        <w:rPr>
          <w:rFonts w:asciiTheme="majorHAnsi" w:hAnsiTheme="majorHAnsi" w:cstheme="majorHAnsi"/>
          <w:sz w:val="22"/>
        </w:rPr>
        <w:t xml:space="preserve">ous </w:t>
      </w:r>
      <w:r w:rsidR="00BB2713" w:rsidRPr="00BA0D80">
        <w:rPr>
          <w:rFonts w:asciiTheme="majorHAnsi" w:hAnsiTheme="majorHAnsi" w:cstheme="majorHAnsi"/>
          <w:sz w:val="22"/>
        </w:rPr>
        <w:t xml:space="preserve">ne modifions pas </w:t>
      </w:r>
      <w:r w:rsidR="001E0D14" w:rsidRPr="00BA0D80">
        <w:rPr>
          <w:rFonts w:asciiTheme="majorHAnsi" w:hAnsiTheme="majorHAnsi" w:cstheme="majorHAnsi"/>
          <w:sz w:val="22"/>
        </w:rPr>
        <w:t xml:space="preserve">de manière significative nos allocations d’actifs, en effet, le stock picking, ou choix d’investir dans certaines actions </w:t>
      </w:r>
      <w:r w:rsidR="002801EA" w:rsidRPr="00BA0D80">
        <w:rPr>
          <w:rFonts w:asciiTheme="majorHAnsi" w:hAnsiTheme="majorHAnsi" w:cstheme="majorHAnsi"/>
          <w:sz w:val="22"/>
        </w:rPr>
        <w:t xml:space="preserve">ou classe d’actifs </w:t>
      </w:r>
      <w:r w:rsidR="001E0D14" w:rsidRPr="00BA0D80">
        <w:rPr>
          <w:rFonts w:asciiTheme="majorHAnsi" w:hAnsiTheme="majorHAnsi" w:cstheme="majorHAnsi"/>
          <w:sz w:val="22"/>
        </w:rPr>
        <w:t>sera le principal objectif pour bénéficier de rendement intéressant.</w:t>
      </w:r>
    </w:p>
    <w:p w14:paraId="7EC55C7F" w14:textId="404128AE" w:rsidR="008838CA" w:rsidRPr="00BA0D80" w:rsidRDefault="00EB5604" w:rsidP="004845B9">
      <w:pPr>
        <w:pStyle w:val="Contenu"/>
        <w:rPr>
          <w:rFonts w:asciiTheme="majorHAnsi" w:hAnsiTheme="majorHAnsi" w:cstheme="majorHAnsi"/>
          <w:sz w:val="22"/>
        </w:rPr>
      </w:pPr>
      <w:r w:rsidRPr="00BA0D80">
        <w:rPr>
          <w:rFonts w:asciiTheme="majorHAnsi" w:hAnsiTheme="majorHAnsi" w:cstheme="majorHAnsi"/>
          <w:sz w:val="22"/>
        </w:rPr>
        <w:t xml:space="preserve">Les </w:t>
      </w:r>
      <w:r w:rsidR="007D3DBF" w:rsidRPr="00BA0D80">
        <w:rPr>
          <w:rFonts w:asciiTheme="majorHAnsi" w:hAnsiTheme="majorHAnsi" w:cstheme="majorHAnsi"/>
          <w:sz w:val="22"/>
        </w:rPr>
        <w:t>fonds</w:t>
      </w:r>
      <w:r w:rsidRPr="00BA0D80">
        <w:rPr>
          <w:rFonts w:asciiTheme="majorHAnsi" w:hAnsiTheme="majorHAnsi" w:cstheme="majorHAnsi"/>
          <w:sz w:val="22"/>
        </w:rPr>
        <w:t xml:space="preserve"> dans lesquels nous avons investi </w:t>
      </w:r>
      <w:r w:rsidR="008838CA" w:rsidRPr="00BA0D80">
        <w:rPr>
          <w:rFonts w:asciiTheme="majorHAnsi" w:hAnsiTheme="majorHAnsi" w:cstheme="majorHAnsi"/>
          <w:sz w:val="22"/>
        </w:rPr>
        <w:t xml:space="preserve">bénéficient d’une expertise </w:t>
      </w:r>
      <w:r w:rsidR="00B64731" w:rsidRPr="00BA0D80">
        <w:rPr>
          <w:rFonts w:asciiTheme="majorHAnsi" w:hAnsiTheme="majorHAnsi" w:cstheme="majorHAnsi"/>
          <w:sz w:val="22"/>
        </w:rPr>
        <w:t xml:space="preserve">structurelle </w:t>
      </w:r>
      <w:r w:rsidR="00D8383D" w:rsidRPr="00BA0D80">
        <w:rPr>
          <w:rFonts w:asciiTheme="majorHAnsi" w:hAnsiTheme="majorHAnsi" w:cstheme="majorHAnsi"/>
          <w:sz w:val="22"/>
        </w:rPr>
        <w:t>en termes de</w:t>
      </w:r>
      <w:r w:rsidR="008838CA" w:rsidRPr="00BA0D80">
        <w:rPr>
          <w:rFonts w:asciiTheme="majorHAnsi" w:hAnsiTheme="majorHAnsi" w:cstheme="majorHAnsi"/>
          <w:sz w:val="22"/>
        </w:rPr>
        <w:t xml:space="preserve"> stock picking.</w:t>
      </w:r>
    </w:p>
    <w:p w14:paraId="1BF90768" w14:textId="77777777" w:rsidR="00024DE7" w:rsidRPr="00BA0D80" w:rsidRDefault="00024DE7" w:rsidP="004845B9">
      <w:pPr>
        <w:pStyle w:val="Contenu"/>
        <w:rPr>
          <w:rFonts w:asciiTheme="majorHAnsi" w:hAnsiTheme="majorHAnsi" w:cstheme="majorHAnsi"/>
          <w:sz w:val="22"/>
        </w:rPr>
      </w:pPr>
    </w:p>
    <w:p w14:paraId="00D39E75" w14:textId="04C42281" w:rsidR="00694251" w:rsidRPr="00BA0D80" w:rsidRDefault="00B71C05" w:rsidP="004845B9">
      <w:pPr>
        <w:pStyle w:val="Contenu"/>
        <w:rPr>
          <w:rFonts w:asciiTheme="majorHAnsi" w:hAnsiTheme="majorHAnsi" w:cstheme="majorHAnsi"/>
          <w:sz w:val="22"/>
        </w:rPr>
      </w:pPr>
      <w:r w:rsidRPr="00BA0D80">
        <w:rPr>
          <w:rFonts w:asciiTheme="majorHAnsi" w:hAnsiTheme="majorHAnsi" w:cstheme="majorHAnsi"/>
          <w:sz w:val="22"/>
        </w:rPr>
        <w:t xml:space="preserve">Au sein de notre allocation d’actifs, nous sommes </w:t>
      </w:r>
      <w:r w:rsidR="0019732A">
        <w:rPr>
          <w:rFonts w:asciiTheme="majorHAnsi" w:hAnsiTheme="majorHAnsi" w:cstheme="majorHAnsi"/>
          <w:sz w:val="22"/>
        </w:rPr>
        <w:t xml:space="preserve">toujours </w:t>
      </w:r>
      <w:r w:rsidR="008D15FB" w:rsidRPr="00BA0D80">
        <w:rPr>
          <w:rFonts w:asciiTheme="majorHAnsi" w:hAnsiTheme="majorHAnsi" w:cstheme="majorHAnsi"/>
          <w:sz w:val="22"/>
        </w:rPr>
        <w:t>investis</w:t>
      </w:r>
      <w:r w:rsidRPr="00BA0D80">
        <w:rPr>
          <w:rFonts w:asciiTheme="majorHAnsi" w:hAnsiTheme="majorHAnsi" w:cstheme="majorHAnsi"/>
          <w:sz w:val="22"/>
        </w:rPr>
        <w:t xml:space="preserve"> </w:t>
      </w:r>
      <w:r w:rsidR="002871A2" w:rsidRPr="00BA0D80">
        <w:rPr>
          <w:rFonts w:asciiTheme="majorHAnsi" w:hAnsiTheme="majorHAnsi" w:cstheme="majorHAnsi"/>
          <w:sz w:val="22"/>
        </w:rPr>
        <w:t>pour une</w:t>
      </w:r>
      <w:r w:rsidRPr="00BA0D80">
        <w:rPr>
          <w:rFonts w:asciiTheme="majorHAnsi" w:hAnsiTheme="majorHAnsi" w:cstheme="majorHAnsi"/>
          <w:sz w:val="22"/>
        </w:rPr>
        <w:t xml:space="preserve"> petite partie sur </w:t>
      </w:r>
      <w:r w:rsidR="008E3616" w:rsidRPr="00BA0D80">
        <w:rPr>
          <w:rFonts w:asciiTheme="majorHAnsi" w:hAnsiTheme="majorHAnsi" w:cstheme="majorHAnsi"/>
          <w:sz w:val="22"/>
        </w:rPr>
        <w:t>le marché</w:t>
      </w:r>
      <w:r w:rsidR="0093214B" w:rsidRPr="00BA0D80">
        <w:rPr>
          <w:rFonts w:asciiTheme="majorHAnsi" w:hAnsiTheme="majorHAnsi" w:cstheme="majorHAnsi"/>
          <w:sz w:val="22"/>
        </w:rPr>
        <w:t xml:space="preserve"> des actions </w:t>
      </w:r>
      <w:r w:rsidR="00FB54E2" w:rsidRPr="00BA0D80">
        <w:rPr>
          <w:rFonts w:asciiTheme="majorHAnsi" w:hAnsiTheme="majorHAnsi" w:cstheme="majorHAnsi"/>
          <w:sz w:val="22"/>
        </w:rPr>
        <w:t>chinoises.</w:t>
      </w:r>
    </w:p>
    <w:p w14:paraId="045FDDB9" w14:textId="57C64C30" w:rsidR="0093214B" w:rsidRPr="00BA0D80" w:rsidRDefault="00557D14" w:rsidP="004845B9">
      <w:pPr>
        <w:pStyle w:val="Contenu"/>
        <w:rPr>
          <w:rFonts w:asciiTheme="majorHAnsi" w:hAnsiTheme="majorHAnsi" w:cstheme="majorHAnsi"/>
          <w:sz w:val="22"/>
        </w:rPr>
      </w:pPr>
      <w:r w:rsidRPr="00BA0D80">
        <w:rPr>
          <w:rFonts w:asciiTheme="majorHAnsi" w:hAnsiTheme="majorHAnsi" w:cstheme="majorHAnsi"/>
          <w:sz w:val="22"/>
        </w:rPr>
        <w:t xml:space="preserve">L’année 2021 n’a pas été bonne </w:t>
      </w:r>
      <w:r w:rsidR="006F0AB2" w:rsidRPr="00BA0D80">
        <w:rPr>
          <w:rFonts w:asciiTheme="majorHAnsi" w:hAnsiTheme="majorHAnsi" w:cstheme="majorHAnsi"/>
          <w:sz w:val="22"/>
        </w:rPr>
        <w:t>pour l’indice chinois, en effet ce dernier a sous</w:t>
      </w:r>
      <w:r w:rsidR="007F7E5F" w:rsidRPr="00BA0D80">
        <w:rPr>
          <w:rFonts w:asciiTheme="majorHAnsi" w:hAnsiTheme="majorHAnsi" w:cstheme="majorHAnsi"/>
          <w:sz w:val="22"/>
        </w:rPr>
        <w:t>-</w:t>
      </w:r>
      <w:r w:rsidR="006F0AB2" w:rsidRPr="00BA0D80">
        <w:rPr>
          <w:rFonts w:asciiTheme="majorHAnsi" w:hAnsiTheme="majorHAnsi" w:cstheme="majorHAnsi"/>
          <w:sz w:val="22"/>
        </w:rPr>
        <w:t xml:space="preserve">performé </w:t>
      </w:r>
      <w:r w:rsidR="005915B4" w:rsidRPr="00BA0D80">
        <w:rPr>
          <w:rFonts w:asciiTheme="majorHAnsi" w:hAnsiTheme="majorHAnsi" w:cstheme="majorHAnsi"/>
          <w:sz w:val="22"/>
        </w:rPr>
        <w:t xml:space="preserve">le continent </w:t>
      </w:r>
      <w:r w:rsidR="00687E08" w:rsidRPr="00BA0D80">
        <w:rPr>
          <w:rFonts w:asciiTheme="majorHAnsi" w:hAnsiTheme="majorHAnsi" w:cstheme="majorHAnsi"/>
          <w:sz w:val="22"/>
        </w:rPr>
        <w:t>nord-américain</w:t>
      </w:r>
      <w:r w:rsidR="005915B4" w:rsidRPr="00BA0D80">
        <w:rPr>
          <w:rFonts w:asciiTheme="majorHAnsi" w:hAnsiTheme="majorHAnsi" w:cstheme="majorHAnsi"/>
          <w:sz w:val="22"/>
        </w:rPr>
        <w:t xml:space="preserve"> et </w:t>
      </w:r>
      <w:r w:rsidR="00687E08" w:rsidRPr="00BA0D80">
        <w:rPr>
          <w:rFonts w:asciiTheme="majorHAnsi" w:hAnsiTheme="majorHAnsi" w:cstheme="majorHAnsi"/>
          <w:sz w:val="22"/>
        </w:rPr>
        <w:t>l’Europe</w:t>
      </w:r>
      <w:r w:rsidR="005915B4" w:rsidRPr="00BA0D80">
        <w:rPr>
          <w:rFonts w:asciiTheme="majorHAnsi" w:hAnsiTheme="majorHAnsi" w:cstheme="majorHAnsi"/>
          <w:sz w:val="22"/>
        </w:rPr>
        <w:t>.</w:t>
      </w:r>
    </w:p>
    <w:p w14:paraId="642C4CB5" w14:textId="5E921AD6" w:rsidR="005915B4" w:rsidRPr="00BA0D80" w:rsidRDefault="005915B4" w:rsidP="004845B9">
      <w:pPr>
        <w:pStyle w:val="Contenu"/>
        <w:rPr>
          <w:rFonts w:asciiTheme="majorHAnsi" w:hAnsiTheme="majorHAnsi" w:cstheme="majorHAnsi"/>
          <w:sz w:val="22"/>
        </w:rPr>
      </w:pPr>
      <w:r w:rsidRPr="00BA0D80">
        <w:rPr>
          <w:rFonts w:asciiTheme="majorHAnsi" w:hAnsiTheme="majorHAnsi" w:cstheme="majorHAnsi"/>
          <w:sz w:val="22"/>
        </w:rPr>
        <w:t xml:space="preserve">Cependant nous continuons à penser qu’il faut rester investi </w:t>
      </w:r>
      <w:r w:rsidR="00A63C78" w:rsidRPr="00BA0D80">
        <w:rPr>
          <w:rFonts w:asciiTheme="majorHAnsi" w:hAnsiTheme="majorHAnsi" w:cstheme="majorHAnsi"/>
          <w:sz w:val="22"/>
        </w:rPr>
        <w:t xml:space="preserve">sur ce continent </w:t>
      </w:r>
      <w:r w:rsidR="009468FE" w:rsidRPr="00BA0D80">
        <w:rPr>
          <w:rFonts w:asciiTheme="majorHAnsi" w:hAnsiTheme="majorHAnsi" w:cstheme="majorHAnsi"/>
          <w:sz w:val="22"/>
        </w:rPr>
        <w:t xml:space="preserve">pour les </w:t>
      </w:r>
      <w:r w:rsidR="00687E08" w:rsidRPr="00BA0D80">
        <w:rPr>
          <w:rFonts w:asciiTheme="majorHAnsi" w:hAnsiTheme="majorHAnsi" w:cstheme="majorHAnsi"/>
          <w:sz w:val="22"/>
        </w:rPr>
        <w:t>raisons</w:t>
      </w:r>
      <w:r w:rsidR="009468FE" w:rsidRPr="00BA0D80">
        <w:rPr>
          <w:rFonts w:asciiTheme="majorHAnsi" w:hAnsiTheme="majorHAnsi" w:cstheme="majorHAnsi"/>
          <w:sz w:val="22"/>
        </w:rPr>
        <w:t xml:space="preserve"> suivantes :</w:t>
      </w:r>
    </w:p>
    <w:p w14:paraId="4BCC8F66" w14:textId="058F0A19" w:rsidR="009468FE" w:rsidRPr="00BA0D80" w:rsidRDefault="006447C4" w:rsidP="004845B9">
      <w:pPr>
        <w:pStyle w:val="Contenu"/>
        <w:rPr>
          <w:rFonts w:asciiTheme="majorHAnsi" w:hAnsiTheme="majorHAnsi" w:cstheme="majorHAnsi"/>
          <w:sz w:val="22"/>
        </w:rPr>
      </w:pPr>
      <w:r w:rsidRPr="00BA0D80">
        <w:rPr>
          <w:rFonts w:asciiTheme="majorHAnsi" w:hAnsiTheme="majorHAnsi" w:cstheme="majorHAnsi"/>
          <w:sz w:val="22"/>
        </w:rPr>
        <w:t>La banque centrale chinoise a pratiquement terminé son ajustement monétaire.</w:t>
      </w:r>
    </w:p>
    <w:p w14:paraId="50F769C1" w14:textId="6CD31EA7" w:rsidR="006447C4" w:rsidRPr="00BA0D80" w:rsidRDefault="006447C4" w:rsidP="004845B9">
      <w:pPr>
        <w:pStyle w:val="Contenu"/>
        <w:rPr>
          <w:rFonts w:asciiTheme="majorHAnsi" w:hAnsiTheme="majorHAnsi" w:cstheme="majorHAnsi"/>
          <w:sz w:val="22"/>
        </w:rPr>
      </w:pPr>
      <w:r w:rsidRPr="00BA0D80">
        <w:rPr>
          <w:rFonts w:asciiTheme="majorHAnsi" w:hAnsiTheme="majorHAnsi" w:cstheme="majorHAnsi"/>
          <w:sz w:val="22"/>
        </w:rPr>
        <w:t xml:space="preserve">La </w:t>
      </w:r>
      <w:r w:rsidR="00687E08" w:rsidRPr="00BA0D80">
        <w:rPr>
          <w:rFonts w:asciiTheme="majorHAnsi" w:hAnsiTheme="majorHAnsi" w:cstheme="majorHAnsi"/>
          <w:sz w:val="22"/>
        </w:rPr>
        <w:t>valorisation</w:t>
      </w:r>
      <w:r w:rsidRPr="00BA0D80">
        <w:rPr>
          <w:rFonts w:asciiTheme="majorHAnsi" w:hAnsiTheme="majorHAnsi" w:cstheme="majorHAnsi"/>
          <w:sz w:val="22"/>
        </w:rPr>
        <w:t xml:space="preserve"> des actions fait ressortir les actions chinoises comme </w:t>
      </w:r>
      <w:r w:rsidR="00D02926" w:rsidRPr="00BA0D80">
        <w:rPr>
          <w:rFonts w:asciiTheme="majorHAnsi" w:hAnsiTheme="majorHAnsi" w:cstheme="majorHAnsi"/>
          <w:sz w:val="22"/>
        </w:rPr>
        <w:t xml:space="preserve">les moins </w:t>
      </w:r>
      <w:r w:rsidR="00687E08" w:rsidRPr="00BA0D80">
        <w:rPr>
          <w:rFonts w:asciiTheme="majorHAnsi" w:hAnsiTheme="majorHAnsi" w:cstheme="majorHAnsi"/>
          <w:sz w:val="22"/>
        </w:rPr>
        <w:t>chères</w:t>
      </w:r>
      <w:r w:rsidR="00D02926" w:rsidRPr="00BA0D80">
        <w:rPr>
          <w:rFonts w:asciiTheme="majorHAnsi" w:hAnsiTheme="majorHAnsi" w:cstheme="majorHAnsi"/>
          <w:sz w:val="22"/>
        </w:rPr>
        <w:t xml:space="preserve"> des marchés mondiaux.</w:t>
      </w:r>
    </w:p>
    <w:p w14:paraId="05A41701" w14:textId="3614EDAC" w:rsidR="00D02926" w:rsidRPr="00BA0D80" w:rsidRDefault="00D02926" w:rsidP="004845B9">
      <w:pPr>
        <w:pStyle w:val="Contenu"/>
        <w:rPr>
          <w:rFonts w:asciiTheme="majorHAnsi" w:hAnsiTheme="majorHAnsi" w:cstheme="majorHAnsi"/>
          <w:sz w:val="22"/>
        </w:rPr>
      </w:pPr>
      <w:r w:rsidRPr="00BA0D80">
        <w:rPr>
          <w:rFonts w:asciiTheme="majorHAnsi" w:hAnsiTheme="majorHAnsi" w:cstheme="majorHAnsi"/>
          <w:sz w:val="22"/>
        </w:rPr>
        <w:t xml:space="preserve">Nous pensons que le rebond arrivera une fois que </w:t>
      </w:r>
      <w:r w:rsidR="00687E08" w:rsidRPr="00BA0D80">
        <w:rPr>
          <w:rFonts w:asciiTheme="majorHAnsi" w:hAnsiTheme="majorHAnsi" w:cstheme="majorHAnsi"/>
          <w:sz w:val="22"/>
        </w:rPr>
        <w:t>la normalisation reviendra sur le marché immobilier chinois.</w:t>
      </w:r>
    </w:p>
    <w:p w14:paraId="250BFC12" w14:textId="77777777" w:rsidR="00687E08" w:rsidRPr="00F055F4" w:rsidRDefault="00687E08" w:rsidP="004845B9">
      <w:pPr>
        <w:pStyle w:val="Contenu"/>
        <w:rPr>
          <w:rFonts w:asciiTheme="majorHAnsi" w:hAnsiTheme="majorHAnsi" w:cstheme="majorHAnsi"/>
          <w:color w:val="1F3864" w:themeColor="accent1" w:themeShade="80"/>
          <w:sz w:val="22"/>
        </w:rPr>
      </w:pPr>
    </w:p>
    <w:p w14:paraId="5907F658" w14:textId="77777777" w:rsidR="00743CB5" w:rsidRPr="00F055F4" w:rsidRDefault="00743CB5" w:rsidP="004845B9">
      <w:pPr>
        <w:pStyle w:val="Contenu"/>
        <w:rPr>
          <w:rFonts w:asciiTheme="majorHAnsi" w:hAnsiTheme="majorHAnsi" w:cstheme="majorHAnsi"/>
          <w:color w:val="1F3864" w:themeColor="accent1" w:themeShade="80"/>
          <w:sz w:val="22"/>
        </w:rPr>
      </w:pPr>
    </w:p>
    <w:p w14:paraId="3AB347D7" w14:textId="77777777" w:rsidR="00A63C78" w:rsidRDefault="00A63C78" w:rsidP="004845B9">
      <w:pPr>
        <w:pStyle w:val="Contenu"/>
        <w:rPr>
          <w:rFonts w:asciiTheme="majorHAnsi" w:hAnsiTheme="majorHAnsi" w:cstheme="majorHAnsi"/>
          <w:color w:val="1F3864" w:themeColor="accent1" w:themeShade="80"/>
          <w:sz w:val="22"/>
        </w:rPr>
      </w:pPr>
    </w:p>
    <w:p w14:paraId="59D53B20" w14:textId="644A2971" w:rsidR="00B137DA" w:rsidRDefault="00B137DA" w:rsidP="004845B9">
      <w:pPr>
        <w:pStyle w:val="Contenu"/>
        <w:rPr>
          <w:rFonts w:asciiTheme="majorHAnsi" w:hAnsiTheme="majorHAnsi" w:cstheme="majorHAnsi"/>
          <w:color w:val="1F3864" w:themeColor="accent1" w:themeShade="80"/>
          <w:sz w:val="22"/>
        </w:rPr>
      </w:pPr>
    </w:p>
    <w:p w14:paraId="4FDE37C6" w14:textId="1B0E826B" w:rsidR="003137FD" w:rsidRDefault="003137FD" w:rsidP="004845B9">
      <w:pPr>
        <w:pStyle w:val="Contenu"/>
        <w:rPr>
          <w:rFonts w:asciiTheme="majorHAnsi" w:hAnsiTheme="majorHAnsi" w:cstheme="majorHAnsi"/>
          <w:b/>
          <w:bCs/>
          <w:color w:val="1F3864" w:themeColor="accent1" w:themeShade="80"/>
          <w:sz w:val="22"/>
        </w:rPr>
      </w:pPr>
    </w:p>
    <w:p w14:paraId="16AE1465" w14:textId="77777777" w:rsidR="003137FD" w:rsidRDefault="003137FD" w:rsidP="004845B9">
      <w:pPr>
        <w:pStyle w:val="Contenu"/>
        <w:rPr>
          <w:rFonts w:asciiTheme="majorHAnsi" w:hAnsiTheme="majorHAnsi" w:cstheme="majorHAnsi"/>
          <w:b/>
          <w:bCs/>
          <w:color w:val="1F3864" w:themeColor="accent1" w:themeShade="80"/>
          <w:sz w:val="22"/>
        </w:rPr>
      </w:pPr>
    </w:p>
    <w:p w14:paraId="58F67DB4" w14:textId="1D107A2D" w:rsidR="002375B4" w:rsidRDefault="002375B4" w:rsidP="004845B9">
      <w:pPr>
        <w:pStyle w:val="Contenu"/>
        <w:rPr>
          <w:rFonts w:asciiTheme="majorHAnsi" w:hAnsiTheme="majorHAnsi" w:cstheme="majorHAnsi"/>
          <w:b/>
          <w:bCs/>
          <w:color w:val="1F3864" w:themeColor="accent1" w:themeShade="80"/>
          <w:sz w:val="22"/>
        </w:rPr>
      </w:pPr>
    </w:p>
    <w:p w14:paraId="146834EE" w14:textId="7B243B3C" w:rsidR="002375B4" w:rsidRDefault="002375B4" w:rsidP="004845B9">
      <w:pPr>
        <w:pStyle w:val="Contenu"/>
        <w:rPr>
          <w:rFonts w:asciiTheme="majorHAnsi" w:hAnsiTheme="majorHAnsi" w:cstheme="majorHAnsi"/>
          <w:b/>
          <w:bCs/>
          <w:color w:val="1F3864" w:themeColor="accent1" w:themeShade="80"/>
          <w:sz w:val="22"/>
        </w:rPr>
      </w:pPr>
    </w:p>
    <w:p w14:paraId="380166EE" w14:textId="28D6954D" w:rsidR="002375B4" w:rsidRDefault="002375B4" w:rsidP="004845B9">
      <w:pPr>
        <w:pStyle w:val="Contenu"/>
        <w:rPr>
          <w:rFonts w:asciiTheme="majorHAnsi" w:hAnsiTheme="majorHAnsi" w:cstheme="majorHAnsi"/>
          <w:b/>
          <w:bCs/>
          <w:color w:val="1F3864" w:themeColor="accent1" w:themeShade="80"/>
          <w:sz w:val="22"/>
        </w:rPr>
      </w:pPr>
    </w:p>
    <w:p w14:paraId="13812EF8" w14:textId="77777777" w:rsidR="002C38DD" w:rsidRDefault="002C38DD" w:rsidP="004845B9">
      <w:pPr>
        <w:pStyle w:val="Contenu"/>
        <w:rPr>
          <w:rFonts w:asciiTheme="majorHAnsi" w:hAnsiTheme="majorHAnsi" w:cstheme="majorHAnsi"/>
          <w:b/>
          <w:bCs/>
          <w:color w:val="1F3864" w:themeColor="accent1" w:themeShade="80"/>
          <w:sz w:val="22"/>
        </w:rPr>
      </w:pPr>
    </w:p>
    <w:p w14:paraId="64E6FFE8" w14:textId="77777777" w:rsidR="002C38DD" w:rsidRDefault="002C38DD" w:rsidP="004845B9">
      <w:pPr>
        <w:pStyle w:val="Contenu"/>
        <w:rPr>
          <w:rFonts w:asciiTheme="majorHAnsi" w:hAnsiTheme="majorHAnsi" w:cstheme="majorHAnsi"/>
          <w:b/>
          <w:bCs/>
          <w:color w:val="1F3864" w:themeColor="accent1" w:themeShade="80"/>
          <w:sz w:val="22"/>
        </w:rPr>
      </w:pPr>
    </w:p>
    <w:p w14:paraId="317A0555" w14:textId="77777777" w:rsidR="00A939EC" w:rsidRDefault="00A939EC" w:rsidP="004845B9">
      <w:pPr>
        <w:pStyle w:val="Contenu"/>
        <w:rPr>
          <w:rFonts w:asciiTheme="majorHAnsi" w:hAnsiTheme="majorHAnsi" w:cstheme="majorHAnsi"/>
          <w:b/>
          <w:bCs/>
          <w:color w:val="1F3864" w:themeColor="accent1" w:themeShade="80"/>
          <w:sz w:val="22"/>
        </w:rPr>
      </w:pPr>
    </w:p>
    <w:p w14:paraId="02105C38" w14:textId="77777777" w:rsidR="00E55E0A" w:rsidRDefault="00E55E0A">
      <w:pPr>
        <w:rPr>
          <w:rFonts w:asciiTheme="majorHAnsi" w:hAnsiTheme="majorHAnsi" w:cstheme="majorHAnsi"/>
          <w:b/>
          <w:bCs/>
          <w:u w:val="single"/>
        </w:rPr>
      </w:pPr>
    </w:p>
    <w:p w14:paraId="6A3D5E60" w14:textId="77777777" w:rsidR="00E55E0A" w:rsidRDefault="00E55E0A">
      <w:pPr>
        <w:rPr>
          <w:rFonts w:asciiTheme="majorHAnsi" w:hAnsiTheme="majorHAnsi" w:cstheme="majorHAnsi"/>
          <w:b/>
          <w:bCs/>
          <w:u w:val="single"/>
        </w:rPr>
      </w:pPr>
    </w:p>
    <w:p w14:paraId="6E7D719E" w14:textId="48AE8551" w:rsidR="00741E24" w:rsidRDefault="004C2D06">
      <w:pPr>
        <w:rPr>
          <w:rFonts w:asciiTheme="majorHAnsi" w:hAnsiTheme="majorHAnsi" w:cstheme="majorHAnsi"/>
          <w:b/>
          <w:bCs/>
          <w:u w:val="single"/>
        </w:rPr>
      </w:pPr>
      <w:r w:rsidRPr="004C2D06">
        <w:rPr>
          <w:rFonts w:asciiTheme="majorHAnsi" w:hAnsiTheme="majorHAnsi" w:cstheme="majorHAnsi"/>
          <w:b/>
          <w:bCs/>
          <w:u w:val="single"/>
        </w:rPr>
        <w:t>Nos allocations d’actifs type :</w:t>
      </w:r>
    </w:p>
    <w:p w14:paraId="6AF2B3DF" w14:textId="77777777" w:rsidR="0045568D" w:rsidRPr="004C2D06" w:rsidRDefault="0045568D">
      <w:pPr>
        <w:rPr>
          <w:rFonts w:asciiTheme="majorHAnsi" w:hAnsiTheme="majorHAnsi" w:cstheme="majorHAnsi"/>
          <w:b/>
          <w:bCs/>
          <w:u w:val="single"/>
        </w:rPr>
      </w:pPr>
    </w:p>
    <w:p w14:paraId="391FC03C" w14:textId="14612FB9" w:rsidR="00E86549" w:rsidRDefault="00E86549">
      <w:pPr>
        <w:rPr>
          <w:rFonts w:asciiTheme="majorHAnsi" w:hAnsiTheme="majorHAnsi" w:cstheme="majorHAnsi"/>
          <w:b/>
          <w:bCs/>
          <w:sz w:val="24"/>
          <w:szCs w:val="24"/>
          <w:u w:val="single"/>
        </w:rPr>
      </w:pPr>
      <w:r w:rsidRPr="00DF069E">
        <w:rPr>
          <w:rFonts w:asciiTheme="majorHAnsi" w:hAnsiTheme="majorHAnsi" w:cstheme="majorHAnsi"/>
          <w:b/>
          <w:bCs/>
          <w:sz w:val="24"/>
          <w:szCs w:val="24"/>
          <w:u w:val="single"/>
        </w:rPr>
        <w:t>-Allocation prudente</w:t>
      </w:r>
    </w:p>
    <w:p w14:paraId="6F708DFE" w14:textId="4C04358B" w:rsidR="0045568D" w:rsidRDefault="0045568D">
      <w:pPr>
        <w:rPr>
          <w:rFonts w:asciiTheme="majorHAnsi" w:hAnsiTheme="majorHAnsi" w:cstheme="majorHAnsi"/>
          <w:b/>
          <w:bCs/>
          <w:sz w:val="24"/>
          <w:szCs w:val="24"/>
          <w:u w:val="single"/>
        </w:rPr>
      </w:pPr>
    </w:p>
    <w:p w14:paraId="58870177" w14:textId="6BE21287" w:rsidR="0045568D" w:rsidRDefault="0045568D">
      <w:pPr>
        <w:rPr>
          <w:rFonts w:asciiTheme="majorHAnsi" w:hAnsiTheme="majorHAnsi" w:cstheme="majorHAnsi"/>
          <w:b/>
          <w:bCs/>
          <w:sz w:val="24"/>
          <w:szCs w:val="24"/>
          <w:u w:val="single"/>
        </w:rPr>
      </w:pPr>
      <w:r>
        <w:rPr>
          <w:noProof/>
        </w:rPr>
        <w:drawing>
          <wp:inline distT="0" distB="0" distL="0" distR="0" wp14:anchorId="5AEDBAE7" wp14:editId="54FFACD1">
            <wp:extent cx="4263041" cy="2506980"/>
            <wp:effectExtent l="0" t="0" r="4445"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72195" cy="2512363"/>
                    </a:xfrm>
                    <a:prstGeom prst="rect">
                      <a:avLst/>
                    </a:prstGeom>
                  </pic:spPr>
                </pic:pic>
              </a:graphicData>
            </a:graphic>
          </wp:inline>
        </w:drawing>
      </w:r>
    </w:p>
    <w:p w14:paraId="7CEA69BB" w14:textId="0E6CF295" w:rsidR="00B40601" w:rsidRDefault="00B40601">
      <w:pPr>
        <w:rPr>
          <w:rFonts w:asciiTheme="majorHAnsi" w:hAnsiTheme="majorHAnsi" w:cstheme="majorHAnsi"/>
          <w:b/>
          <w:bCs/>
          <w:sz w:val="24"/>
          <w:szCs w:val="24"/>
          <w:u w:val="single"/>
        </w:rPr>
      </w:pPr>
    </w:p>
    <w:p w14:paraId="04A2EC83" w14:textId="5CCD7CCC" w:rsidR="00B40601" w:rsidRPr="00DF069E" w:rsidRDefault="00B40601">
      <w:pPr>
        <w:rPr>
          <w:rFonts w:asciiTheme="majorHAnsi" w:hAnsiTheme="majorHAnsi" w:cstheme="majorHAnsi"/>
          <w:b/>
          <w:bCs/>
          <w:sz w:val="24"/>
          <w:szCs w:val="24"/>
          <w:u w:val="single"/>
        </w:rPr>
      </w:pPr>
    </w:p>
    <w:p w14:paraId="25E2092D" w14:textId="168CC163" w:rsidR="00863EF3" w:rsidRPr="00DF069E" w:rsidRDefault="0091438C">
      <w:pPr>
        <w:rPr>
          <w:rFonts w:asciiTheme="majorHAnsi" w:hAnsiTheme="majorHAnsi" w:cstheme="majorHAnsi"/>
        </w:rPr>
      </w:pPr>
      <w:r>
        <w:rPr>
          <w:noProof/>
        </w:rPr>
        <w:drawing>
          <wp:inline distT="0" distB="0" distL="0" distR="0" wp14:anchorId="30E3BB7F" wp14:editId="07C604B0">
            <wp:extent cx="5760720" cy="19094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909445"/>
                    </a:xfrm>
                    <a:prstGeom prst="rect">
                      <a:avLst/>
                    </a:prstGeom>
                  </pic:spPr>
                </pic:pic>
              </a:graphicData>
            </a:graphic>
          </wp:inline>
        </w:drawing>
      </w:r>
    </w:p>
    <w:p w14:paraId="1970EC30" w14:textId="1C21B585" w:rsidR="00276272" w:rsidRPr="00DF069E" w:rsidRDefault="00276272">
      <w:pPr>
        <w:rPr>
          <w:rFonts w:asciiTheme="majorHAnsi" w:hAnsiTheme="majorHAnsi" w:cstheme="majorHAnsi"/>
        </w:rPr>
      </w:pPr>
    </w:p>
    <w:p w14:paraId="543D7F1D" w14:textId="15699576" w:rsidR="00276272" w:rsidRPr="00DF069E" w:rsidRDefault="00276272">
      <w:pPr>
        <w:rPr>
          <w:rFonts w:asciiTheme="majorHAnsi" w:hAnsiTheme="majorHAnsi" w:cstheme="majorHAnsi"/>
        </w:rPr>
      </w:pPr>
    </w:p>
    <w:p w14:paraId="59730281" w14:textId="01C5FE45" w:rsidR="009E4059" w:rsidRDefault="009E4059">
      <w:pPr>
        <w:rPr>
          <w:rFonts w:asciiTheme="majorHAnsi" w:hAnsiTheme="majorHAnsi" w:cstheme="majorHAnsi"/>
          <w:noProof/>
        </w:rPr>
      </w:pPr>
    </w:p>
    <w:p w14:paraId="23B8490D" w14:textId="2F5E2084" w:rsidR="00E679C5" w:rsidRDefault="00E679C5">
      <w:pPr>
        <w:rPr>
          <w:rFonts w:asciiTheme="majorHAnsi" w:hAnsiTheme="majorHAnsi" w:cstheme="majorHAnsi"/>
          <w:noProof/>
        </w:rPr>
      </w:pPr>
    </w:p>
    <w:p w14:paraId="78B2D8B6" w14:textId="66154806" w:rsidR="00E679C5" w:rsidRPr="00DF069E" w:rsidRDefault="00E679C5">
      <w:pPr>
        <w:rPr>
          <w:rFonts w:asciiTheme="majorHAnsi" w:hAnsiTheme="majorHAnsi" w:cstheme="majorHAnsi"/>
        </w:rPr>
      </w:pPr>
    </w:p>
    <w:p w14:paraId="5CAF37B3" w14:textId="77777777" w:rsidR="00FF15CD" w:rsidRDefault="00FF15CD">
      <w:pPr>
        <w:rPr>
          <w:rFonts w:asciiTheme="majorHAnsi" w:hAnsiTheme="majorHAnsi" w:cstheme="majorHAnsi"/>
          <w:b/>
          <w:bCs/>
          <w:sz w:val="24"/>
          <w:szCs w:val="24"/>
          <w:u w:val="single"/>
        </w:rPr>
      </w:pPr>
    </w:p>
    <w:p w14:paraId="0A82B0D4" w14:textId="77777777" w:rsidR="00FF15CD" w:rsidRDefault="00FF15CD">
      <w:pPr>
        <w:rPr>
          <w:rFonts w:asciiTheme="majorHAnsi" w:hAnsiTheme="majorHAnsi" w:cstheme="majorHAnsi"/>
          <w:b/>
          <w:bCs/>
          <w:sz w:val="24"/>
          <w:szCs w:val="24"/>
          <w:u w:val="single"/>
        </w:rPr>
      </w:pPr>
    </w:p>
    <w:p w14:paraId="1EF16EFA" w14:textId="77777777" w:rsidR="00FF15CD" w:rsidRDefault="00FF15CD">
      <w:pPr>
        <w:rPr>
          <w:rFonts w:asciiTheme="majorHAnsi" w:hAnsiTheme="majorHAnsi" w:cstheme="majorHAnsi"/>
          <w:b/>
          <w:bCs/>
          <w:sz w:val="24"/>
          <w:szCs w:val="24"/>
          <w:u w:val="single"/>
        </w:rPr>
      </w:pPr>
    </w:p>
    <w:p w14:paraId="0B866772" w14:textId="77777777" w:rsidR="00FF15CD" w:rsidRDefault="00FF15CD">
      <w:pPr>
        <w:rPr>
          <w:rFonts w:asciiTheme="majorHAnsi" w:hAnsiTheme="majorHAnsi" w:cstheme="majorHAnsi"/>
          <w:b/>
          <w:bCs/>
          <w:sz w:val="24"/>
          <w:szCs w:val="24"/>
          <w:u w:val="single"/>
        </w:rPr>
      </w:pPr>
    </w:p>
    <w:p w14:paraId="5BD0F8FF" w14:textId="2F3B2851" w:rsidR="00E86549" w:rsidRPr="00DF069E" w:rsidRDefault="00E86549">
      <w:pPr>
        <w:rPr>
          <w:rFonts w:asciiTheme="majorHAnsi" w:hAnsiTheme="majorHAnsi" w:cstheme="majorHAnsi"/>
          <w:b/>
          <w:bCs/>
          <w:sz w:val="24"/>
          <w:szCs w:val="24"/>
          <w:u w:val="single"/>
        </w:rPr>
      </w:pPr>
      <w:r w:rsidRPr="00DF069E">
        <w:rPr>
          <w:rFonts w:asciiTheme="majorHAnsi" w:hAnsiTheme="majorHAnsi" w:cstheme="majorHAnsi"/>
          <w:b/>
          <w:bCs/>
          <w:sz w:val="24"/>
          <w:szCs w:val="24"/>
          <w:u w:val="single"/>
        </w:rPr>
        <w:t>-Allocation équilibrée</w:t>
      </w:r>
    </w:p>
    <w:p w14:paraId="19C48922" w14:textId="23CD9FAA" w:rsidR="00D81FD9" w:rsidRPr="00DF069E" w:rsidRDefault="00D81FD9">
      <w:pPr>
        <w:rPr>
          <w:rFonts w:asciiTheme="majorHAnsi" w:hAnsiTheme="majorHAnsi" w:cstheme="majorHAnsi"/>
        </w:rPr>
      </w:pPr>
    </w:p>
    <w:p w14:paraId="76846A02" w14:textId="4E6BB57F" w:rsidR="00E86549" w:rsidRPr="00DF069E" w:rsidRDefault="00F53F60">
      <w:pPr>
        <w:rPr>
          <w:rFonts w:asciiTheme="majorHAnsi" w:hAnsiTheme="majorHAnsi" w:cstheme="majorHAnsi"/>
        </w:rPr>
      </w:pPr>
      <w:r w:rsidRPr="00DF069E">
        <w:rPr>
          <w:rFonts w:asciiTheme="majorHAnsi" w:hAnsiTheme="majorHAnsi" w:cstheme="majorHAnsi"/>
          <w:noProof/>
        </w:rPr>
        <w:drawing>
          <wp:inline distT="0" distB="0" distL="0" distR="0" wp14:anchorId="4944C271" wp14:editId="6112A146">
            <wp:extent cx="3747796" cy="2117725"/>
            <wp:effectExtent l="0" t="0" r="508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69788" cy="2130152"/>
                    </a:xfrm>
                    <a:prstGeom prst="rect">
                      <a:avLst/>
                    </a:prstGeom>
                  </pic:spPr>
                </pic:pic>
              </a:graphicData>
            </a:graphic>
          </wp:inline>
        </w:drawing>
      </w:r>
    </w:p>
    <w:p w14:paraId="4C80E97C" w14:textId="77777777" w:rsidR="00E86549" w:rsidRPr="00DF069E" w:rsidRDefault="00E86549">
      <w:pPr>
        <w:rPr>
          <w:rFonts w:asciiTheme="majorHAnsi" w:hAnsiTheme="majorHAnsi" w:cstheme="majorHAnsi"/>
        </w:rPr>
      </w:pPr>
    </w:p>
    <w:p w14:paraId="5793FCA0" w14:textId="41753956" w:rsidR="00813B47" w:rsidRPr="00DF069E" w:rsidRDefault="006D607E">
      <w:pPr>
        <w:rPr>
          <w:rFonts w:asciiTheme="majorHAnsi" w:hAnsiTheme="majorHAnsi" w:cstheme="majorHAnsi"/>
        </w:rPr>
      </w:pPr>
      <w:r>
        <w:rPr>
          <w:noProof/>
        </w:rPr>
        <w:drawing>
          <wp:inline distT="0" distB="0" distL="0" distR="0" wp14:anchorId="4925736E" wp14:editId="658ABF13">
            <wp:extent cx="5760720" cy="1671320"/>
            <wp:effectExtent l="0" t="0" r="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671320"/>
                    </a:xfrm>
                    <a:prstGeom prst="rect">
                      <a:avLst/>
                    </a:prstGeom>
                  </pic:spPr>
                </pic:pic>
              </a:graphicData>
            </a:graphic>
          </wp:inline>
        </w:drawing>
      </w:r>
    </w:p>
    <w:p w14:paraId="3A9E2442" w14:textId="523979AC" w:rsidR="00FF15CD" w:rsidRDefault="00FF15CD">
      <w:pPr>
        <w:rPr>
          <w:rFonts w:asciiTheme="majorHAnsi" w:hAnsiTheme="majorHAnsi" w:cstheme="majorHAnsi"/>
          <w:b/>
          <w:bCs/>
          <w:sz w:val="24"/>
          <w:szCs w:val="24"/>
          <w:u w:val="single"/>
        </w:rPr>
      </w:pPr>
    </w:p>
    <w:p w14:paraId="7266B12F" w14:textId="77777777" w:rsidR="00FF15CD" w:rsidRDefault="00FF15CD">
      <w:pPr>
        <w:rPr>
          <w:rFonts w:asciiTheme="majorHAnsi" w:hAnsiTheme="majorHAnsi" w:cstheme="majorHAnsi"/>
          <w:b/>
          <w:bCs/>
          <w:sz w:val="24"/>
          <w:szCs w:val="24"/>
          <w:u w:val="single"/>
        </w:rPr>
      </w:pPr>
    </w:p>
    <w:p w14:paraId="036610CF" w14:textId="77777777" w:rsidR="0052694A" w:rsidRDefault="0052694A">
      <w:pPr>
        <w:rPr>
          <w:rFonts w:asciiTheme="majorHAnsi" w:hAnsiTheme="majorHAnsi" w:cstheme="majorHAnsi"/>
          <w:b/>
          <w:bCs/>
          <w:sz w:val="24"/>
          <w:szCs w:val="24"/>
          <w:u w:val="single"/>
        </w:rPr>
      </w:pPr>
    </w:p>
    <w:p w14:paraId="6B0EF4BE" w14:textId="77777777" w:rsidR="0052694A" w:rsidRDefault="0052694A">
      <w:pPr>
        <w:rPr>
          <w:rFonts w:asciiTheme="majorHAnsi" w:hAnsiTheme="majorHAnsi" w:cstheme="majorHAnsi"/>
          <w:b/>
          <w:bCs/>
          <w:sz w:val="24"/>
          <w:szCs w:val="24"/>
          <w:u w:val="single"/>
        </w:rPr>
      </w:pPr>
    </w:p>
    <w:p w14:paraId="44DE98C0" w14:textId="77777777" w:rsidR="0052694A" w:rsidRDefault="0052694A">
      <w:pPr>
        <w:rPr>
          <w:rFonts w:asciiTheme="majorHAnsi" w:hAnsiTheme="majorHAnsi" w:cstheme="majorHAnsi"/>
          <w:b/>
          <w:bCs/>
          <w:sz w:val="24"/>
          <w:szCs w:val="24"/>
          <w:u w:val="single"/>
        </w:rPr>
      </w:pPr>
    </w:p>
    <w:p w14:paraId="77583358" w14:textId="77777777" w:rsidR="0052694A" w:rsidRDefault="0052694A">
      <w:pPr>
        <w:rPr>
          <w:rFonts w:asciiTheme="majorHAnsi" w:hAnsiTheme="majorHAnsi" w:cstheme="majorHAnsi"/>
          <w:b/>
          <w:bCs/>
          <w:sz w:val="24"/>
          <w:szCs w:val="24"/>
          <w:u w:val="single"/>
        </w:rPr>
      </w:pPr>
    </w:p>
    <w:p w14:paraId="3498506D" w14:textId="77777777" w:rsidR="0052694A" w:rsidRDefault="0052694A">
      <w:pPr>
        <w:rPr>
          <w:rFonts w:asciiTheme="majorHAnsi" w:hAnsiTheme="majorHAnsi" w:cstheme="majorHAnsi"/>
          <w:b/>
          <w:bCs/>
          <w:sz w:val="24"/>
          <w:szCs w:val="24"/>
          <w:u w:val="single"/>
        </w:rPr>
      </w:pPr>
    </w:p>
    <w:p w14:paraId="36FCAD02" w14:textId="77777777" w:rsidR="0052694A" w:rsidRDefault="0052694A">
      <w:pPr>
        <w:rPr>
          <w:rFonts w:asciiTheme="majorHAnsi" w:hAnsiTheme="majorHAnsi" w:cstheme="majorHAnsi"/>
          <w:b/>
          <w:bCs/>
          <w:sz w:val="24"/>
          <w:szCs w:val="24"/>
          <w:u w:val="single"/>
        </w:rPr>
      </w:pPr>
    </w:p>
    <w:p w14:paraId="2D961041" w14:textId="77777777" w:rsidR="0052694A" w:rsidRDefault="0052694A">
      <w:pPr>
        <w:rPr>
          <w:rFonts w:asciiTheme="majorHAnsi" w:hAnsiTheme="majorHAnsi" w:cstheme="majorHAnsi"/>
          <w:b/>
          <w:bCs/>
          <w:sz w:val="24"/>
          <w:szCs w:val="24"/>
          <w:u w:val="single"/>
        </w:rPr>
      </w:pPr>
    </w:p>
    <w:p w14:paraId="5C109B0D" w14:textId="77777777" w:rsidR="00E55E0A" w:rsidRDefault="00E55E0A">
      <w:pPr>
        <w:rPr>
          <w:rFonts w:asciiTheme="majorHAnsi" w:hAnsiTheme="majorHAnsi" w:cstheme="majorHAnsi"/>
          <w:b/>
          <w:bCs/>
          <w:sz w:val="24"/>
          <w:szCs w:val="24"/>
          <w:u w:val="single"/>
        </w:rPr>
      </w:pPr>
    </w:p>
    <w:p w14:paraId="56F79ECC" w14:textId="77777777" w:rsidR="00E55E0A" w:rsidRDefault="00E55E0A">
      <w:pPr>
        <w:rPr>
          <w:rFonts w:asciiTheme="majorHAnsi" w:hAnsiTheme="majorHAnsi" w:cstheme="majorHAnsi"/>
          <w:b/>
          <w:bCs/>
          <w:sz w:val="24"/>
          <w:szCs w:val="24"/>
          <w:u w:val="single"/>
        </w:rPr>
      </w:pPr>
    </w:p>
    <w:p w14:paraId="5C207CA5" w14:textId="04193AF6" w:rsidR="00A16FA7" w:rsidRPr="00DF069E" w:rsidRDefault="00E86549">
      <w:pPr>
        <w:rPr>
          <w:rFonts w:asciiTheme="majorHAnsi" w:hAnsiTheme="majorHAnsi" w:cstheme="majorHAnsi"/>
          <w:b/>
          <w:bCs/>
          <w:sz w:val="24"/>
          <w:szCs w:val="24"/>
          <w:u w:val="single"/>
        </w:rPr>
      </w:pPr>
      <w:r w:rsidRPr="00DF069E">
        <w:rPr>
          <w:rFonts w:asciiTheme="majorHAnsi" w:hAnsiTheme="majorHAnsi" w:cstheme="majorHAnsi"/>
          <w:b/>
          <w:bCs/>
          <w:sz w:val="24"/>
          <w:szCs w:val="24"/>
          <w:u w:val="single"/>
        </w:rPr>
        <w:t>-Allocation Dynamique</w:t>
      </w:r>
      <w:r w:rsidR="00AB3B43" w:rsidRPr="00DF069E">
        <w:rPr>
          <w:rFonts w:asciiTheme="majorHAnsi" w:hAnsiTheme="majorHAnsi" w:cstheme="majorHAnsi"/>
          <w:b/>
          <w:bCs/>
          <w:sz w:val="24"/>
          <w:szCs w:val="24"/>
          <w:u w:val="single"/>
        </w:rPr>
        <w:t xml:space="preserve"> </w:t>
      </w:r>
    </w:p>
    <w:p w14:paraId="627F5881" w14:textId="77777777" w:rsidR="00A16FA7" w:rsidRPr="00DF069E" w:rsidRDefault="00A16FA7">
      <w:pPr>
        <w:rPr>
          <w:rFonts w:asciiTheme="majorHAnsi" w:hAnsiTheme="majorHAnsi" w:cstheme="majorHAnsi"/>
        </w:rPr>
      </w:pPr>
    </w:p>
    <w:p w14:paraId="702BC508" w14:textId="22C5F449" w:rsidR="0025421B" w:rsidRPr="00DF069E" w:rsidRDefault="00025CAB">
      <w:pPr>
        <w:rPr>
          <w:rFonts w:asciiTheme="majorHAnsi" w:hAnsiTheme="majorHAnsi" w:cstheme="majorHAnsi"/>
        </w:rPr>
      </w:pPr>
      <w:r w:rsidRPr="00DF069E">
        <w:rPr>
          <w:rFonts w:asciiTheme="majorHAnsi" w:hAnsiTheme="majorHAnsi" w:cstheme="majorHAnsi"/>
          <w:noProof/>
        </w:rPr>
        <w:drawing>
          <wp:inline distT="0" distB="0" distL="0" distR="0" wp14:anchorId="1F396AFD" wp14:editId="31B4EB43">
            <wp:extent cx="3551193" cy="2051957"/>
            <wp:effectExtent l="0" t="0" r="0" b="571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60753" cy="2057481"/>
                    </a:xfrm>
                    <a:prstGeom prst="rect">
                      <a:avLst/>
                    </a:prstGeom>
                  </pic:spPr>
                </pic:pic>
              </a:graphicData>
            </a:graphic>
          </wp:inline>
        </w:drawing>
      </w:r>
    </w:p>
    <w:p w14:paraId="64E5A298" w14:textId="77777777" w:rsidR="0025421B" w:rsidRPr="00DF069E" w:rsidRDefault="0025421B">
      <w:pPr>
        <w:rPr>
          <w:rFonts w:asciiTheme="majorHAnsi" w:hAnsiTheme="majorHAnsi" w:cstheme="majorHAnsi"/>
        </w:rPr>
      </w:pPr>
    </w:p>
    <w:p w14:paraId="682F4C8D" w14:textId="05024612" w:rsidR="00CF401C" w:rsidRDefault="00CF401C"/>
    <w:p w14:paraId="65159C10" w14:textId="0FD2E4D3" w:rsidR="007363E4" w:rsidRDefault="00FE720C">
      <w:pPr>
        <w:rPr>
          <w:noProof/>
        </w:rPr>
      </w:pPr>
      <w:r>
        <w:rPr>
          <w:noProof/>
        </w:rPr>
        <w:drawing>
          <wp:inline distT="0" distB="0" distL="0" distR="0" wp14:anchorId="32035EB1" wp14:editId="07DC14B0">
            <wp:extent cx="5760720" cy="1880870"/>
            <wp:effectExtent l="0" t="0" r="0"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880870"/>
                    </a:xfrm>
                    <a:prstGeom prst="rect">
                      <a:avLst/>
                    </a:prstGeom>
                  </pic:spPr>
                </pic:pic>
              </a:graphicData>
            </a:graphic>
          </wp:inline>
        </w:drawing>
      </w:r>
    </w:p>
    <w:p w14:paraId="49A44F72" w14:textId="615B0A20" w:rsidR="00392AC6" w:rsidRDefault="00392AC6"/>
    <w:p w14:paraId="6E527D6C" w14:textId="77E80E31" w:rsidR="008E34CA" w:rsidRPr="00B25A71" w:rsidRDefault="008E34CA" w:rsidP="00B25A71">
      <w:pPr>
        <w:pStyle w:val="Paragraphedeliste"/>
        <w:numPr>
          <w:ilvl w:val="0"/>
          <w:numId w:val="2"/>
        </w:numPr>
        <w:rPr>
          <w:sz w:val="18"/>
          <w:szCs w:val="18"/>
        </w:rPr>
      </w:pPr>
      <w:r w:rsidRPr="00B25A71">
        <w:rPr>
          <w:sz w:val="18"/>
          <w:szCs w:val="18"/>
        </w:rPr>
        <w:t>Ce document a été réalisé par la société Pali Kao Capital, reflétant ses convictions, n’est diffusé</w:t>
      </w:r>
    </w:p>
    <w:p w14:paraId="6DA28148" w14:textId="5F12B1EB" w:rsidR="008E34CA" w:rsidRPr="00B25A71" w:rsidRDefault="006E3808" w:rsidP="00B25A71">
      <w:pPr>
        <w:pStyle w:val="Paragraphedeliste"/>
        <w:rPr>
          <w:sz w:val="18"/>
          <w:szCs w:val="18"/>
        </w:rPr>
      </w:pPr>
      <w:r w:rsidRPr="00B25A71">
        <w:rPr>
          <w:sz w:val="18"/>
          <w:szCs w:val="18"/>
        </w:rPr>
        <w:t>Qu’à</w:t>
      </w:r>
      <w:r w:rsidR="008E34CA" w:rsidRPr="00B25A71">
        <w:rPr>
          <w:sz w:val="18"/>
          <w:szCs w:val="18"/>
        </w:rPr>
        <w:t xml:space="preserve"> titre informatif.</w:t>
      </w:r>
    </w:p>
    <w:p w14:paraId="0E469A79" w14:textId="5F4F1697" w:rsidR="008E34CA" w:rsidRPr="00B25A71" w:rsidRDefault="008E34CA" w:rsidP="00B25A71">
      <w:pPr>
        <w:pStyle w:val="Paragraphedeliste"/>
        <w:numPr>
          <w:ilvl w:val="0"/>
          <w:numId w:val="2"/>
        </w:numPr>
        <w:rPr>
          <w:sz w:val="18"/>
          <w:szCs w:val="18"/>
        </w:rPr>
      </w:pPr>
      <w:r w:rsidRPr="00B25A71">
        <w:rPr>
          <w:sz w:val="18"/>
          <w:szCs w:val="18"/>
        </w:rPr>
        <w:t>Les informations contenues ne constituent en aucun cas une incitation à acheter ou à vendre des</w:t>
      </w:r>
    </w:p>
    <w:p w14:paraId="47349AC9" w14:textId="1FC70B27" w:rsidR="008E34CA" w:rsidRPr="00B25A71" w:rsidRDefault="006E3808" w:rsidP="00B25A71">
      <w:pPr>
        <w:pStyle w:val="Paragraphedeliste"/>
        <w:rPr>
          <w:sz w:val="18"/>
          <w:szCs w:val="18"/>
        </w:rPr>
      </w:pPr>
      <w:r w:rsidRPr="00B25A71">
        <w:rPr>
          <w:sz w:val="18"/>
          <w:szCs w:val="18"/>
        </w:rPr>
        <w:t>Titres</w:t>
      </w:r>
      <w:r w:rsidR="008E34CA" w:rsidRPr="00B25A71">
        <w:rPr>
          <w:sz w:val="18"/>
          <w:szCs w:val="18"/>
        </w:rPr>
        <w:t>, ni une quelconque sollicitation ou offre de souscription aux fonds d’investissement décrits dans le présent document.</w:t>
      </w:r>
    </w:p>
    <w:p w14:paraId="4822E769" w14:textId="4756E64E" w:rsidR="008E34CA" w:rsidRPr="00B25A71" w:rsidRDefault="008E34CA" w:rsidP="00B25A71">
      <w:pPr>
        <w:pStyle w:val="Paragraphedeliste"/>
        <w:numPr>
          <w:ilvl w:val="0"/>
          <w:numId w:val="2"/>
        </w:numPr>
        <w:rPr>
          <w:sz w:val="18"/>
          <w:szCs w:val="18"/>
        </w:rPr>
      </w:pPr>
      <w:r w:rsidRPr="00B25A71">
        <w:rPr>
          <w:sz w:val="18"/>
          <w:szCs w:val="18"/>
        </w:rPr>
        <w:t>La société Pali Kao Capital peut percevoir une quote-part de rétrocession sur frais de gestion</w:t>
      </w:r>
    </w:p>
    <w:p w14:paraId="7E14918A" w14:textId="77777777" w:rsidR="008E34CA" w:rsidRPr="00B25A71" w:rsidRDefault="008E34CA" w:rsidP="00B25A71">
      <w:pPr>
        <w:pStyle w:val="Paragraphedeliste"/>
        <w:rPr>
          <w:sz w:val="18"/>
          <w:szCs w:val="18"/>
        </w:rPr>
      </w:pPr>
      <w:proofErr w:type="gramStart"/>
      <w:r w:rsidRPr="00B25A71">
        <w:rPr>
          <w:sz w:val="18"/>
          <w:szCs w:val="18"/>
        </w:rPr>
        <w:t>liés</w:t>
      </w:r>
      <w:proofErr w:type="gramEnd"/>
      <w:r w:rsidRPr="00B25A71">
        <w:rPr>
          <w:sz w:val="18"/>
          <w:szCs w:val="18"/>
        </w:rPr>
        <w:t xml:space="preserve"> à certains OPC qu’elle conseille.</w:t>
      </w:r>
    </w:p>
    <w:p w14:paraId="339A36BE" w14:textId="2921360E" w:rsidR="008E34CA" w:rsidRPr="00B25A71" w:rsidRDefault="008E34CA" w:rsidP="00B25A71">
      <w:pPr>
        <w:pStyle w:val="Paragraphedeliste"/>
        <w:numPr>
          <w:ilvl w:val="0"/>
          <w:numId w:val="2"/>
        </w:numPr>
        <w:rPr>
          <w:sz w:val="18"/>
          <w:szCs w:val="18"/>
        </w:rPr>
      </w:pPr>
      <w:r w:rsidRPr="00B25A71">
        <w:rPr>
          <w:sz w:val="18"/>
          <w:szCs w:val="18"/>
        </w:rPr>
        <w:t>Il est rappelé aux destinataires de ce document qui envisageraient de souscrire aux fonds décrits dans ce document qu’une telle opération doit être exclusivement envisagée sur la base des informations</w:t>
      </w:r>
      <w:r w:rsidR="00B25A71" w:rsidRPr="00B25A71">
        <w:rPr>
          <w:sz w:val="18"/>
          <w:szCs w:val="18"/>
        </w:rPr>
        <w:t xml:space="preserve"> </w:t>
      </w:r>
      <w:r w:rsidRPr="00B25A71">
        <w:rPr>
          <w:sz w:val="18"/>
          <w:szCs w:val="18"/>
        </w:rPr>
        <w:t>figurant dans le prospectus des fonds, qui peuvent être différentes de celles présentées dans le</w:t>
      </w:r>
      <w:r w:rsidR="00B25A71" w:rsidRPr="00B25A71">
        <w:rPr>
          <w:sz w:val="18"/>
          <w:szCs w:val="18"/>
        </w:rPr>
        <w:t xml:space="preserve"> </w:t>
      </w:r>
      <w:r w:rsidRPr="00B25A71">
        <w:rPr>
          <w:sz w:val="18"/>
          <w:szCs w:val="18"/>
        </w:rPr>
        <w:t>présent document.</w:t>
      </w:r>
    </w:p>
    <w:p w14:paraId="3E32EAB8" w14:textId="3E8A87A7" w:rsidR="008E34CA" w:rsidRPr="00B25A71" w:rsidRDefault="008E34CA" w:rsidP="00B25A71">
      <w:pPr>
        <w:pStyle w:val="Paragraphedeliste"/>
        <w:numPr>
          <w:ilvl w:val="0"/>
          <w:numId w:val="2"/>
        </w:numPr>
        <w:rPr>
          <w:sz w:val="18"/>
          <w:szCs w:val="18"/>
        </w:rPr>
      </w:pPr>
      <w:r w:rsidRPr="00B25A71">
        <w:rPr>
          <w:sz w:val="18"/>
          <w:szCs w:val="18"/>
        </w:rPr>
        <w:t>Aucune garantie, exprimée ou implicite, ne saurait être attachée au présent document, ni de la part</w:t>
      </w:r>
    </w:p>
    <w:p w14:paraId="42636A90" w14:textId="77777777" w:rsidR="008E34CA" w:rsidRPr="00B25A71" w:rsidRDefault="008E34CA" w:rsidP="00B25A71">
      <w:pPr>
        <w:pStyle w:val="Paragraphedeliste"/>
        <w:rPr>
          <w:sz w:val="18"/>
          <w:szCs w:val="18"/>
        </w:rPr>
      </w:pPr>
      <w:proofErr w:type="gramStart"/>
      <w:r w:rsidRPr="00B25A71">
        <w:rPr>
          <w:sz w:val="18"/>
          <w:szCs w:val="18"/>
        </w:rPr>
        <w:t>de</w:t>
      </w:r>
      <w:proofErr w:type="gramEnd"/>
      <w:r w:rsidRPr="00B25A71">
        <w:rPr>
          <w:sz w:val="18"/>
          <w:szCs w:val="18"/>
        </w:rPr>
        <w:t xml:space="preserve"> la société, ni de ses dirigeants, en ce qui concerne l’exactitude, l’intégralité ou la précision des</w:t>
      </w:r>
    </w:p>
    <w:p w14:paraId="7AFBE85B" w14:textId="77777777" w:rsidR="008E34CA" w:rsidRPr="00B25A71" w:rsidRDefault="008E34CA" w:rsidP="00B25A71">
      <w:pPr>
        <w:pStyle w:val="Paragraphedeliste"/>
        <w:rPr>
          <w:sz w:val="18"/>
          <w:szCs w:val="18"/>
        </w:rPr>
      </w:pPr>
      <w:proofErr w:type="gramStart"/>
      <w:r w:rsidRPr="00B25A71">
        <w:rPr>
          <w:sz w:val="18"/>
          <w:szCs w:val="18"/>
        </w:rPr>
        <w:t>informations</w:t>
      </w:r>
      <w:proofErr w:type="gramEnd"/>
      <w:r w:rsidRPr="00B25A71">
        <w:rPr>
          <w:sz w:val="18"/>
          <w:szCs w:val="18"/>
        </w:rPr>
        <w:t xml:space="preserve"> qui y sont contenues. De la même façon, la société et ses dirigeants déclinent toute</w:t>
      </w:r>
    </w:p>
    <w:p w14:paraId="2D0DE74B" w14:textId="77777777" w:rsidR="008E34CA" w:rsidRPr="00B25A71" w:rsidRDefault="008E34CA" w:rsidP="00B25A71">
      <w:pPr>
        <w:pStyle w:val="Paragraphedeliste"/>
        <w:rPr>
          <w:sz w:val="18"/>
          <w:szCs w:val="18"/>
        </w:rPr>
      </w:pPr>
      <w:proofErr w:type="gramStart"/>
      <w:r w:rsidRPr="00B25A71">
        <w:rPr>
          <w:sz w:val="18"/>
          <w:szCs w:val="18"/>
        </w:rPr>
        <w:t>forme</w:t>
      </w:r>
      <w:proofErr w:type="gramEnd"/>
      <w:r w:rsidRPr="00B25A71">
        <w:rPr>
          <w:sz w:val="18"/>
          <w:szCs w:val="18"/>
        </w:rPr>
        <w:t xml:space="preserve"> d’engagement ou de responsabilité auprès de ceux qui auront pris connaissance de ce</w:t>
      </w:r>
    </w:p>
    <w:p w14:paraId="096EE205" w14:textId="77777777" w:rsidR="008E34CA" w:rsidRPr="00B25A71" w:rsidRDefault="008E34CA" w:rsidP="00B25A71">
      <w:pPr>
        <w:pStyle w:val="Paragraphedeliste"/>
        <w:rPr>
          <w:sz w:val="18"/>
          <w:szCs w:val="18"/>
        </w:rPr>
      </w:pPr>
      <w:proofErr w:type="gramStart"/>
      <w:r w:rsidRPr="00B25A71">
        <w:rPr>
          <w:sz w:val="18"/>
          <w:szCs w:val="18"/>
        </w:rPr>
        <w:t>document</w:t>
      </w:r>
      <w:proofErr w:type="gramEnd"/>
      <w:r w:rsidRPr="00B25A71">
        <w:rPr>
          <w:sz w:val="18"/>
          <w:szCs w:val="18"/>
        </w:rPr>
        <w:t>.</w:t>
      </w:r>
    </w:p>
    <w:p w14:paraId="7DE18F03" w14:textId="3155231B" w:rsidR="008E34CA" w:rsidRPr="00B25A71" w:rsidRDefault="008E34CA" w:rsidP="00B25A71">
      <w:pPr>
        <w:pStyle w:val="Paragraphedeliste"/>
        <w:numPr>
          <w:ilvl w:val="0"/>
          <w:numId w:val="2"/>
        </w:numPr>
        <w:rPr>
          <w:sz w:val="18"/>
          <w:szCs w:val="18"/>
        </w:rPr>
      </w:pPr>
      <w:r w:rsidRPr="00B25A71">
        <w:rPr>
          <w:sz w:val="18"/>
          <w:szCs w:val="18"/>
        </w:rPr>
        <w:t>La distribution de ce document peut être légalement interdite dans certains pays. Il appartient donc</w:t>
      </w:r>
    </w:p>
    <w:p w14:paraId="513864F1" w14:textId="77777777" w:rsidR="008E34CA" w:rsidRPr="00B25A71" w:rsidRDefault="008E34CA" w:rsidP="00B25A71">
      <w:pPr>
        <w:pStyle w:val="Paragraphedeliste"/>
        <w:rPr>
          <w:sz w:val="18"/>
          <w:szCs w:val="18"/>
        </w:rPr>
      </w:pPr>
      <w:proofErr w:type="gramStart"/>
      <w:r w:rsidRPr="00B25A71">
        <w:rPr>
          <w:sz w:val="18"/>
          <w:szCs w:val="18"/>
        </w:rPr>
        <w:t>aux</w:t>
      </w:r>
      <w:proofErr w:type="gramEnd"/>
      <w:r w:rsidRPr="00B25A71">
        <w:rPr>
          <w:sz w:val="18"/>
          <w:szCs w:val="18"/>
        </w:rPr>
        <w:t xml:space="preserve"> personnes qui en prennent connaissance de s’assurer par elles-mêmes qu’elles ne résident pas</w:t>
      </w:r>
    </w:p>
    <w:p w14:paraId="7B855F51" w14:textId="77777777" w:rsidR="008E34CA" w:rsidRPr="00B25A71" w:rsidRDefault="008E34CA" w:rsidP="00B25A71">
      <w:pPr>
        <w:pStyle w:val="Paragraphedeliste"/>
        <w:rPr>
          <w:sz w:val="18"/>
          <w:szCs w:val="18"/>
        </w:rPr>
      </w:pPr>
      <w:proofErr w:type="gramStart"/>
      <w:r w:rsidRPr="00B25A71">
        <w:rPr>
          <w:sz w:val="18"/>
          <w:szCs w:val="18"/>
        </w:rPr>
        <w:lastRenderedPageBreak/>
        <w:t>dans</w:t>
      </w:r>
      <w:proofErr w:type="gramEnd"/>
      <w:r w:rsidRPr="00B25A71">
        <w:rPr>
          <w:sz w:val="18"/>
          <w:szCs w:val="18"/>
        </w:rPr>
        <w:t xml:space="preserve"> ces pays concernés, et le cas échéant d’en respecter les restrictions législatives. La distribution</w:t>
      </w:r>
    </w:p>
    <w:p w14:paraId="46A6AA99" w14:textId="77777777" w:rsidR="008E34CA" w:rsidRPr="00B25A71" w:rsidRDefault="008E34CA" w:rsidP="00B25A71">
      <w:pPr>
        <w:pStyle w:val="Paragraphedeliste"/>
        <w:rPr>
          <w:sz w:val="18"/>
          <w:szCs w:val="18"/>
        </w:rPr>
      </w:pPr>
      <w:proofErr w:type="gramStart"/>
      <w:r w:rsidRPr="00B25A71">
        <w:rPr>
          <w:sz w:val="18"/>
          <w:szCs w:val="18"/>
        </w:rPr>
        <w:t>de</w:t>
      </w:r>
      <w:proofErr w:type="gramEnd"/>
      <w:r w:rsidRPr="00B25A71">
        <w:rPr>
          <w:sz w:val="18"/>
          <w:szCs w:val="18"/>
        </w:rPr>
        <w:t xml:space="preserve"> ce document dans ces pays est susceptible de représenter une atteinte à la Loi.</w:t>
      </w:r>
    </w:p>
    <w:p w14:paraId="02EB994F" w14:textId="2424B2EE" w:rsidR="008E34CA" w:rsidRPr="00B25A71" w:rsidRDefault="008E34CA" w:rsidP="00B25A71">
      <w:pPr>
        <w:pStyle w:val="Paragraphedeliste"/>
        <w:numPr>
          <w:ilvl w:val="0"/>
          <w:numId w:val="2"/>
        </w:numPr>
        <w:rPr>
          <w:sz w:val="18"/>
          <w:szCs w:val="18"/>
        </w:rPr>
      </w:pPr>
      <w:r w:rsidRPr="00B25A71">
        <w:rPr>
          <w:sz w:val="18"/>
          <w:szCs w:val="18"/>
        </w:rPr>
        <w:t>Les performances passées ne sauraient préjuger des performances futures. Les investisseurs sont</w:t>
      </w:r>
    </w:p>
    <w:p w14:paraId="23652A7E" w14:textId="77777777" w:rsidR="008E34CA" w:rsidRPr="00B25A71" w:rsidRDefault="008E34CA" w:rsidP="00B25A71">
      <w:pPr>
        <w:pStyle w:val="Paragraphedeliste"/>
        <w:rPr>
          <w:sz w:val="18"/>
          <w:szCs w:val="18"/>
        </w:rPr>
      </w:pPr>
      <w:proofErr w:type="gramStart"/>
      <w:r w:rsidRPr="00B25A71">
        <w:rPr>
          <w:sz w:val="18"/>
          <w:szCs w:val="18"/>
        </w:rPr>
        <w:t>susceptibles</w:t>
      </w:r>
      <w:proofErr w:type="gramEnd"/>
      <w:r w:rsidRPr="00B25A71">
        <w:rPr>
          <w:sz w:val="18"/>
          <w:szCs w:val="18"/>
        </w:rPr>
        <w:t xml:space="preserve"> de subir de lourdes pertes par rapport à leur investissement initial selon l’évolution des</w:t>
      </w:r>
    </w:p>
    <w:p w14:paraId="7B1BDF7E" w14:textId="77777777" w:rsidR="008E34CA" w:rsidRPr="00B25A71" w:rsidRDefault="008E34CA" w:rsidP="00B25A71">
      <w:pPr>
        <w:pStyle w:val="Paragraphedeliste"/>
        <w:rPr>
          <w:sz w:val="18"/>
          <w:szCs w:val="18"/>
        </w:rPr>
      </w:pPr>
      <w:proofErr w:type="gramStart"/>
      <w:r w:rsidRPr="00B25A71">
        <w:rPr>
          <w:sz w:val="18"/>
          <w:szCs w:val="18"/>
        </w:rPr>
        <w:t>marchés</w:t>
      </w:r>
      <w:proofErr w:type="gramEnd"/>
      <w:r w:rsidRPr="00B25A71">
        <w:rPr>
          <w:sz w:val="18"/>
          <w:szCs w:val="18"/>
        </w:rPr>
        <w:t xml:space="preserve"> et des cours de change. De même que les données présentées se réfèrent à des simulations</w:t>
      </w:r>
    </w:p>
    <w:p w14:paraId="7759CCB2" w14:textId="77777777" w:rsidR="008E34CA" w:rsidRPr="00B25A71" w:rsidRDefault="008E34CA" w:rsidP="00B25A71">
      <w:pPr>
        <w:pStyle w:val="Paragraphedeliste"/>
        <w:rPr>
          <w:sz w:val="18"/>
          <w:szCs w:val="18"/>
        </w:rPr>
      </w:pPr>
      <w:proofErr w:type="gramStart"/>
      <w:r w:rsidRPr="00B25A71">
        <w:rPr>
          <w:sz w:val="18"/>
          <w:szCs w:val="18"/>
        </w:rPr>
        <w:t>des</w:t>
      </w:r>
      <w:proofErr w:type="gramEnd"/>
      <w:r w:rsidRPr="00B25A71">
        <w:rPr>
          <w:sz w:val="18"/>
          <w:szCs w:val="18"/>
        </w:rPr>
        <w:t xml:space="preserve"> performances passées et ne préjugent en rien des performances futures.</w:t>
      </w:r>
    </w:p>
    <w:p w14:paraId="2C9D43E4" w14:textId="3602D044" w:rsidR="008E34CA" w:rsidRPr="00B25A71" w:rsidRDefault="008E34CA" w:rsidP="00B25A71">
      <w:pPr>
        <w:pStyle w:val="Paragraphedeliste"/>
        <w:numPr>
          <w:ilvl w:val="0"/>
          <w:numId w:val="2"/>
        </w:numPr>
        <w:rPr>
          <w:sz w:val="18"/>
          <w:szCs w:val="18"/>
        </w:rPr>
      </w:pPr>
      <w:r w:rsidRPr="00B25A71">
        <w:rPr>
          <w:sz w:val="18"/>
          <w:szCs w:val="18"/>
        </w:rPr>
        <w:t>Les performances présentées sont les simulations de performances historiques de portefeuilles-types,</w:t>
      </w:r>
      <w:r w:rsidR="00B25A71" w:rsidRPr="00B25A71">
        <w:rPr>
          <w:sz w:val="18"/>
          <w:szCs w:val="18"/>
        </w:rPr>
        <w:t xml:space="preserve"> </w:t>
      </w:r>
      <w:r w:rsidRPr="00B25A71">
        <w:rPr>
          <w:sz w:val="18"/>
          <w:szCs w:val="18"/>
        </w:rPr>
        <w:t>utilisées comme indicateurs par la société pour le service d’allocations. Ces performances, qui son</w:t>
      </w:r>
      <w:r w:rsidR="00B25A71" w:rsidRPr="00B25A71">
        <w:rPr>
          <w:sz w:val="18"/>
          <w:szCs w:val="18"/>
        </w:rPr>
        <w:t xml:space="preserve">t </w:t>
      </w:r>
      <w:r w:rsidRPr="00B25A71">
        <w:rPr>
          <w:sz w:val="18"/>
          <w:szCs w:val="18"/>
        </w:rPr>
        <w:t>brutes de toutes commissions, redevances et autres charges, n’intègrent donc pas l’impact des frais</w:t>
      </w:r>
      <w:r w:rsidR="00B25A71" w:rsidRPr="00B25A71">
        <w:rPr>
          <w:sz w:val="18"/>
          <w:szCs w:val="18"/>
        </w:rPr>
        <w:t xml:space="preserve"> </w:t>
      </w:r>
      <w:r w:rsidRPr="00B25A71">
        <w:rPr>
          <w:sz w:val="18"/>
          <w:szCs w:val="18"/>
        </w:rPr>
        <w:t>de gestion et / ou de transactions facturées par un quelconque teneur de compte et/ou le ca</w:t>
      </w:r>
      <w:r w:rsidR="00B25A71">
        <w:rPr>
          <w:sz w:val="18"/>
          <w:szCs w:val="18"/>
        </w:rPr>
        <w:t xml:space="preserve">s </w:t>
      </w:r>
      <w:r w:rsidRPr="00B25A71">
        <w:rPr>
          <w:sz w:val="18"/>
          <w:szCs w:val="18"/>
        </w:rPr>
        <w:t>échéant par le récepteur-transmetteur d’ordres. La méthode de calcul des performances des</w:t>
      </w:r>
      <w:r w:rsidR="00B25A71">
        <w:rPr>
          <w:sz w:val="18"/>
          <w:szCs w:val="18"/>
        </w:rPr>
        <w:t xml:space="preserve"> </w:t>
      </w:r>
      <w:r w:rsidRPr="00B25A71">
        <w:rPr>
          <w:sz w:val="18"/>
          <w:szCs w:val="18"/>
        </w:rPr>
        <w:t>portefeuilles-types et des indices de référence, ainsi que la composition des indices de référence sont</w:t>
      </w:r>
      <w:r w:rsidR="00B25A71">
        <w:rPr>
          <w:sz w:val="18"/>
          <w:szCs w:val="18"/>
        </w:rPr>
        <w:t xml:space="preserve"> </w:t>
      </w:r>
      <w:r w:rsidRPr="00B25A71">
        <w:rPr>
          <w:sz w:val="18"/>
          <w:szCs w:val="18"/>
        </w:rPr>
        <w:t xml:space="preserve">disponibles sur simple demande auprès </w:t>
      </w:r>
      <w:r w:rsidR="00B25A71" w:rsidRPr="00B25A71">
        <w:rPr>
          <w:sz w:val="18"/>
          <w:szCs w:val="18"/>
        </w:rPr>
        <w:t>de Pali Kao Capital</w:t>
      </w:r>
      <w:r w:rsidRPr="00B25A71">
        <w:rPr>
          <w:sz w:val="18"/>
          <w:szCs w:val="18"/>
        </w:rPr>
        <w:t>.</w:t>
      </w:r>
    </w:p>
    <w:p w14:paraId="28424C3C" w14:textId="05F62F8F" w:rsidR="008E34CA" w:rsidRPr="00B25A71" w:rsidRDefault="008E34CA" w:rsidP="00B25A71">
      <w:pPr>
        <w:pStyle w:val="Paragraphedeliste"/>
        <w:numPr>
          <w:ilvl w:val="0"/>
          <w:numId w:val="2"/>
        </w:numPr>
        <w:rPr>
          <w:sz w:val="18"/>
          <w:szCs w:val="18"/>
        </w:rPr>
      </w:pPr>
      <w:r w:rsidRPr="00B25A71">
        <w:rPr>
          <w:sz w:val="18"/>
          <w:szCs w:val="18"/>
        </w:rPr>
        <w:t>Les indications de performances, qui résultent des simulations, ne sont pas certifiées et ne sont</w:t>
      </w:r>
    </w:p>
    <w:p w14:paraId="12735B70" w14:textId="77777777" w:rsidR="008E34CA" w:rsidRPr="00B25A71" w:rsidRDefault="008E34CA" w:rsidP="00B25A71">
      <w:pPr>
        <w:pStyle w:val="Paragraphedeliste"/>
        <w:rPr>
          <w:sz w:val="18"/>
          <w:szCs w:val="18"/>
        </w:rPr>
      </w:pPr>
      <w:proofErr w:type="gramStart"/>
      <w:r w:rsidRPr="00B25A71">
        <w:rPr>
          <w:sz w:val="18"/>
          <w:szCs w:val="18"/>
        </w:rPr>
        <w:t>fournies</w:t>
      </w:r>
      <w:proofErr w:type="gramEnd"/>
      <w:r w:rsidRPr="00B25A71">
        <w:rPr>
          <w:sz w:val="18"/>
          <w:szCs w:val="18"/>
        </w:rPr>
        <w:t xml:space="preserve"> que pour illustrer la présentation générale du service de conseil en allocation que propose</w:t>
      </w:r>
    </w:p>
    <w:p w14:paraId="6E878FA8" w14:textId="35376563" w:rsidR="008E34CA" w:rsidRPr="00B25A71" w:rsidRDefault="00B25A71" w:rsidP="00B25A71">
      <w:pPr>
        <w:pStyle w:val="Paragraphedeliste"/>
        <w:rPr>
          <w:sz w:val="18"/>
          <w:szCs w:val="18"/>
        </w:rPr>
      </w:pPr>
      <w:r w:rsidRPr="00B25A71">
        <w:rPr>
          <w:sz w:val="18"/>
          <w:szCs w:val="18"/>
        </w:rPr>
        <w:t>Pali Kao Capital</w:t>
      </w:r>
      <w:r w:rsidR="008E34CA" w:rsidRPr="00B25A71">
        <w:rPr>
          <w:sz w:val="18"/>
          <w:szCs w:val="18"/>
        </w:rPr>
        <w:t>, ce service nécessitant, pour être mis en œuvre, la fourniture d’informations</w:t>
      </w:r>
    </w:p>
    <w:p w14:paraId="619F142B" w14:textId="77777777" w:rsidR="008E34CA" w:rsidRPr="00B25A71" w:rsidRDefault="008E34CA" w:rsidP="00B25A71">
      <w:pPr>
        <w:pStyle w:val="Paragraphedeliste"/>
        <w:rPr>
          <w:sz w:val="18"/>
          <w:szCs w:val="18"/>
        </w:rPr>
      </w:pPr>
      <w:proofErr w:type="gramStart"/>
      <w:r w:rsidRPr="00B25A71">
        <w:rPr>
          <w:sz w:val="18"/>
          <w:szCs w:val="18"/>
        </w:rPr>
        <w:t>complémentaires</w:t>
      </w:r>
      <w:proofErr w:type="gramEnd"/>
      <w:r w:rsidRPr="00B25A71">
        <w:rPr>
          <w:sz w:val="18"/>
          <w:szCs w:val="18"/>
        </w:rPr>
        <w:t xml:space="preserve"> et la présentation de documents précontractuels et contractuels.</w:t>
      </w:r>
    </w:p>
    <w:p w14:paraId="2ED5A471" w14:textId="15979ACD" w:rsidR="008E34CA" w:rsidRPr="00B25A71" w:rsidRDefault="008E34CA" w:rsidP="00B25A71">
      <w:pPr>
        <w:pStyle w:val="Paragraphedeliste"/>
        <w:numPr>
          <w:ilvl w:val="0"/>
          <w:numId w:val="2"/>
        </w:numPr>
        <w:rPr>
          <w:sz w:val="18"/>
          <w:szCs w:val="18"/>
        </w:rPr>
      </w:pPr>
      <w:r w:rsidRPr="00B25A71">
        <w:rPr>
          <w:sz w:val="18"/>
          <w:szCs w:val="18"/>
        </w:rPr>
        <w:t>Certains mouvements peuvent ne pas impacter la totalité des portefeuilles gérés en raison de leur</w:t>
      </w:r>
    </w:p>
    <w:p w14:paraId="55124F54" w14:textId="77777777" w:rsidR="008E34CA" w:rsidRPr="00B25A71" w:rsidRDefault="008E34CA" w:rsidP="00B25A71">
      <w:pPr>
        <w:pStyle w:val="Paragraphedeliste"/>
        <w:rPr>
          <w:sz w:val="18"/>
          <w:szCs w:val="18"/>
        </w:rPr>
      </w:pPr>
      <w:proofErr w:type="gramStart"/>
      <w:r w:rsidRPr="00B25A71">
        <w:rPr>
          <w:sz w:val="18"/>
          <w:szCs w:val="18"/>
        </w:rPr>
        <w:t>nature</w:t>
      </w:r>
      <w:proofErr w:type="gramEnd"/>
      <w:r w:rsidRPr="00B25A71">
        <w:rPr>
          <w:sz w:val="18"/>
          <w:szCs w:val="18"/>
        </w:rPr>
        <w:t>, de leur taille ou des contraintes qui leur sont propres. Les publications d’opérations réalisées</w:t>
      </w:r>
    </w:p>
    <w:p w14:paraId="3A7A1FE9" w14:textId="77777777" w:rsidR="008E34CA" w:rsidRPr="00B25A71" w:rsidRDefault="008E34CA" w:rsidP="00B25A71">
      <w:pPr>
        <w:pStyle w:val="Paragraphedeliste"/>
        <w:rPr>
          <w:sz w:val="18"/>
          <w:szCs w:val="18"/>
        </w:rPr>
      </w:pPr>
      <w:proofErr w:type="gramStart"/>
      <w:r w:rsidRPr="00B25A71">
        <w:rPr>
          <w:sz w:val="18"/>
          <w:szCs w:val="18"/>
        </w:rPr>
        <w:t>ou</w:t>
      </w:r>
      <w:proofErr w:type="gramEnd"/>
      <w:r w:rsidRPr="00B25A71">
        <w:rPr>
          <w:sz w:val="18"/>
          <w:szCs w:val="18"/>
        </w:rPr>
        <w:t xml:space="preserve"> à venir décrites dans la partie « stratégie d’investissement » ne constituent pas une</w:t>
      </w:r>
    </w:p>
    <w:p w14:paraId="7A26F1AD" w14:textId="77777777" w:rsidR="008E34CA" w:rsidRPr="00B25A71" w:rsidRDefault="008E34CA" w:rsidP="00B25A71">
      <w:pPr>
        <w:pStyle w:val="Paragraphedeliste"/>
        <w:rPr>
          <w:sz w:val="18"/>
          <w:szCs w:val="18"/>
        </w:rPr>
      </w:pPr>
      <w:proofErr w:type="gramStart"/>
      <w:r w:rsidRPr="00B25A71">
        <w:rPr>
          <w:sz w:val="18"/>
          <w:szCs w:val="18"/>
        </w:rPr>
        <w:t>recommandation</w:t>
      </w:r>
      <w:proofErr w:type="gramEnd"/>
      <w:r w:rsidRPr="00B25A71">
        <w:rPr>
          <w:sz w:val="18"/>
          <w:szCs w:val="18"/>
        </w:rPr>
        <w:t xml:space="preserve"> d’investissement personnalisée. Elle ne contient aucune recommandation</w:t>
      </w:r>
    </w:p>
    <w:p w14:paraId="4312775A" w14:textId="77777777" w:rsidR="008E34CA" w:rsidRPr="00B25A71" w:rsidRDefault="008E34CA" w:rsidP="00B25A71">
      <w:pPr>
        <w:pStyle w:val="Paragraphedeliste"/>
        <w:rPr>
          <w:sz w:val="18"/>
          <w:szCs w:val="18"/>
        </w:rPr>
      </w:pPr>
      <w:proofErr w:type="gramStart"/>
      <w:r w:rsidRPr="00B25A71">
        <w:rPr>
          <w:sz w:val="18"/>
          <w:szCs w:val="18"/>
        </w:rPr>
        <w:t>d’acheter</w:t>
      </w:r>
      <w:proofErr w:type="gramEnd"/>
      <w:r w:rsidRPr="00B25A71">
        <w:rPr>
          <w:sz w:val="18"/>
          <w:szCs w:val="18"/>
        </w:rPr>
        <w:t>, de vendre ou de conserver un ou plusieurs instrument(s) financier(s) relatif(s) à un ou</w:t>
      </w:r>
    </w:p>
    <w:p w14:paraId="7CA0673B" w14:textId="36799B20" w:rsidR="008E34CA" w:rsidRPr="00B25A71" w:rsidRDefault="008E34CA" w:rsidP="00B25A71">
      <w:pPr>
        <w:pStyle w:val="Paragraphedeliste"/>
        <w:rPr>
          <w:sz w:val="18"/>
          <w:szCs w:val="18"/>
        </w:rPr>
      </w:pPr>
      <w:proofErr w:type="gramStart"/>
      <w:r w:rsidRPr="00B25A71">
        <w:rPr>
          <w:sz w:val="18"/>
          <w:szCs w:val="18"/>
        </w:rPr>
        <w:t>plusieurs</w:t>
      </w:r>
      <w:proofErr w:type="gramEnd"/>
      <w:r w:rsidRPr="00B25A71">
        <w:rPr>
          <w:sz w:val="18"/>
          <w:szCs w:val="18"/>
        </w:rPr>
        <w:t xml:space="preserve"> émetteur(s) et ne peut donc être considérée comme tel.</w:t>
      </w:r>
    </w:p>
    <w:sectPr w:rsidR="008E34CA" w:rsidRPr="00B25A7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5D43" w14:textId="77777777" w:rsidR="0098042A" w:rsidRDefault="0098042A" w:rsidP="007363E4">
      <w:pPr>
        <w:spacing w:after="0" w:line="240" w:lineRule="auto"/>
      </w:pPr>
      <w:r>
        <w:separator/>
      </w:r>
    </w:p>
  </w:endnote>
  <w:endnote w:type="continuationSeparator" w:id="0">
    <w:p w14:paraId="75B6019A" w14:textId="77777777" w:rsidR="0098042A" w:rsidRDefault="0098042A" w:rsidP="0073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1061"/>
      <w:docPartObj>
        <w:docPartGallery w:val="Page Numbers (Bottom of Page)"/>
        <w:docPartUnique/>
      </w:docPartObj>
    </w:sdtPr>
    <w:sdtEndPr/>
    <w:sdtContent>
      <w:p w14:paraId="574C6045" w14:textId="72C1385F" w:rsidR="00791C9F" w:rsidRDefault="00791C9F">
        <w:pPr>
          <w:pStyle w:val="Pieddepage"/>
        </w:pPr>
        <w:r>
          <w:fldChar w:fldCharType="begin"/>
        </w:r>
        <w:r>
          <w:instrText>PAGE   \* MERGEFORMAT</w:instrText>
        </w:r>
        <w:r>
          <w:fldChar w:fldCharType="separate"/>
        </w:r>
        <w:r>
          <w:t>2</w:t>
        </w:r>
        <w:r>
          <w:fldChar w:fldCharType="end"/>
        </w:r>
      </w:p>
    </w:sdtContent>
  </w:sdt>
  <w:p w14:paraId="0A379E21" w14:textId="77777777" w:rsidR="00791C9F" w:rsidRDefault="00791C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6566" w14:textId="77777777" w:rsidR="0098042A" w:rsidRDefault="0098042A" w:rsidP="007363E4">
      <w:pPr>
        <w:spacing w:after="0" w:line="240" w:lineRule="auto"/>
      </w:pPr>
      <w:r>
        <w:separator/>
      </w:r>
    </w:p>
  </w:footnote>
  <w:footnote w:type="continuationSeparator" w:id="0">
    <w:p w14:paraId="18F5116C" w14:textId="77777777" w:rsidR="0098042A" w:rsidRDefault="0098042A" w:rsidP="00736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657A" w14:textId="0C589EB1" w:rsidR="00791C9F" w:rsidRPr="007363E4" w:rsidRDefault="00791C9F" w:rsidP="007363E4">
    <w:pPr>
      <w:pStyle w:val="En-tte"/>
      <w:jc w:val="center"/>
      <w:rPr>
        <w:rFonts w:ascii="Blackadder ITC" w:hAnsi="Blackadder ITC"/>
        <w:color w:val="2F5496" w:themeColor="accent1" w:themeShade="BF"/>
        <w:sz w:val="32"/>
        <w:szCs w:val="32"/>
      </w:rPr>
    </w:pPr>
    <w:r w:rsidRPr="007363E4">
      <w:rPr>
        <w:rFonts w:ascii="Blackadder ITC" w:hAnsi="Blackadder ITC"/>
        <w:color w:val="2F5496" w:themeColor="accent1" w:themeShade="BF"/>
        <w:sz w:val="32"/>
        <w:szCs w:val="32"/>
      </w:rPr>
      <w:t xml:space="preserve">La Lettre </w:t>
    </w:r>
    <w:r w:rsidR="00E743AF">
      <w:rPr>
        <w:rFonts w:ascii="Blackadder ITC" w:hAnsi="Blackadder ITC"/>
        <w:color w:val="2F5496" w:themeColor="accent1" w:themeShade="BF"/>
        <w:sz w:val="32"/>
        <w:szCs w:val="32"/>
      </w:rPr>
      <w:t>trimestrielle</w:t>
    </w:r>
  </w:p>
  <w:p w14:paraId="1EE246DE" w14:textId="69C5715C" w:rsidR="00791C9F" w:rsidRPr="007363E4" w:rsidRDefault="00791C9F" w:rsidP="00F81754">
    <w:pPr>
      <w:pStyle w:val="En-tte"/>
      <w:jc w:val="center"/>
      <w:rPr>
        <w:rFonts w:ascii="Blackadder ITC" w:hAnsi="Blackadder ITC"/>
        <w:color w:val="2F5496" w:themeColor="accent1" w:themeShade="BF"/>
        <w:sz w:val="32"/>
        <w:szCs w:val="32"/>
      </w:rPr>
    </w:pPr>
    <w:r w:rsidRPr="00E0280B">
      <w:rPr>
        <w:rFonts w:ascii="Blackadder ITC" w:hAnsi="Blackadder ITC"/>
        <w:color w:val="2F5496" w:themeColor="accent1" w:themeShade="BF"/>
        <w:sz w:val="32"/>
        <w:szCs w:val="32"/>
      </w:rPr>
      <w:t xml:space="preserve">Pali </w:t>
    </w:r>
    <w:proofErr w:type="spellStart"/>
    <w:r w:rsidRPr="00E0280B">
      <w:rPr>
        <w:rFonts w:ascii="Blackadder ITC" w:hAnsi="Blackadder ITC"/>
        <w:color w:val="2F5496" w:themeColor="accent1" w:themeShade="BF"/>
        <w:sz w:val="32"/>
        <w:szCs w:val="32"/>
      </w:rPr>
      <w:t>kao</w:t>
    </w:r>
    <w:proofErr w:type="spellEnd"/>
    <w:r w:rsidRPr="00E0280B">
      <w:rPr>
        <w:rFonts w:ascii="Blackadder ITC" w:hAnsi="Blackadder ITC"/>
        <w:color w:val="2F5496" w:themeColor="accent1" w:themeShade="BF"/>
        <w:sz w:val="32"/>
        <w:szCs w:val="32"/>
      </w:rPr>
      <w:t xml:space="preserve"> capital</w:t>
    </w:r>
  </w:p>
  <w:p w14:paraId="5A36CD45" w14:textId="2265209E" w:rsidR="00791C9F" w:rsidRDefault="00791C9F">
    <w:pPr>
      <w:pStyle w:val="En-tte"/>
    </w:pPr>
    <w:r>
      <w:rPr>
        <w:noProof/>
      </w:rPr>
      <mc:AlternateContent>
        <mc:Choice Requires="wps">
          <w:drawing>
            <wp:anchor distT="0" distB="0" distL="114300" distR="114300" simplePos="0" relativeHeight="251663872" behindDoc="0" locked="0" layoutInCell="1" allowOverlap="1" wp14:anchorId="1CA1096B" wp14:editId="2977E422">
              <wp:simplePos x="0" y="0"/>
              <wp:positionH relativeFrom="column">
                <wp:posOffset>-1197668</wp:posOffset>
              </wp:positionH>
              <wp:positionV relativeFrom="paragraph">
                <wp:posOffset>171565</wp:posOffset>
              </wp:positionV>
              <wp:extent cx="793865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7938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60ACA" id="Connecteur droit 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pt,13.5pt" to="530.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DFC"/>
    <w:multiLevelType w:val="hybridMultilevel"/>
    <w:tmpl w:val="97B0C7E2"/>
    <w:lvl w:ilvl="0" w:tplc="CC28AED4">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40290"/>
    <w:multiLevelType w:val="hybridMultilevel"/>
    <w:tmpl w:val="4DA4231C"/>
    <w:lvl w:ilvl="0" w:tplc="5A3417D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C46C90"/>
    <w:multiLevelType w:val="hybridMultilevel"/>
    <w:tmpl w:val="20060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E4"/>
    <w:rsid w:val="000040CB"/>
    <w:rsid w:val="000052BD"/>
    <w:rsid w:val="000127DD"/>
    <w:rsid w:val="00013DA8"/>
    <w:rsid w:val="00016106"/>
    <w:rsid w:val="0002360A"/>
    <w:rsid w:val="00024DE7"/>
    <w:rsid w:val="00024E48"/>
    <w:rsid w:val="00025CAB"/>
    <w:rsid w:val="00031EC7"/>
    <w:rsid w:val="00032BBE"/>
    <w:rsid w:val="00033245"/>
    <w:rsid w:val="00036B78"/>
    <w:rsid w:val="00046F98"/>
    <w:rsid w:val="00047327"/>
    <w:rsid w:val="000507B7"/>
    <w:rsid w:val="00060A4F"/>
    <w:rsid w:val="0007264B"/>
    <w:rsid w:val="000732E6"/>
    <w:rsid w:val="00073FAE"/>
    <w:rsid w:val="000820ED"/>
    <w:rsid w:val="000861EA"/>
    <w:rsid w:val="0009301F"/>
    <w:rsid w:val="000A4118"/>
    <w:rsid w:val="000B4532"/>
    <w:rsid w:val="000B47D4"/>
    <w:rsid w:val="000B61DD"/>
    <w:rsid w:val="000B6C11"/>
    <w:rsid w:val="000D01C2"/>
    <w:rsid w:val="000D0D1D"/>
    <w:rsid w:val="000D14C4"/>
    <w:rsid w:val="000E1AA0"/>
    <w:rsid w:val="000E2858"/>
    <w:rsid w:val="000F6211"/>
    <w:rsid w:val="00101837"/>
    <w:rsid w:val="00104A79"/>
    <w:rsid w:val="00111C6D"/>
    <w:rsid w:val="00114EA7"/>
    <w:rsid w:val="0012101B"/>
    <w:rsid w:val="00123997"/>
    <w:rsid w:val="00124EBB"/>
    <w:rsid w:val="00126BF6"/>
    <w:rsid w:val="001302D5"/>
    <w:rsid w:val="001447BC"/>
    <w:rsid w:val="00146163"/>
    <w:rsid w:val="00146E1B"/>
    <w:rsid w:val="0015118B"/>
    <w:rsid w:val="001540F6"/>
    <w:rsid w:val="00161573"/>
    <w:rsid w:val="001648BC"/>
    <w:rsid w:val="001671CE"/>
    <w:rsid w:val="0018061F"/>
    <w:rsid w:val="00194D0F"/>
    <w:rsid w:val="0019732A"/>
    <w:rsid w:val="001A1AF6"/>
    <w:rsid w:val="001A1CDC"/>
    <w:rsid w:val="001A3118"/>
    <w:rsid w:val="001A3372"/>
    <w:rsid w:val="001C1B2C"/>
    <w:rsid w:val="001C2DB7"/>
    <w:rsid w:val="001C3151"/>
    <w:rsid w:val="001D380A"/>
    <w:rsid w:val="001D4069"/>
    <w:rsid w:val="001D63DA"/>
    <w:rsid w:val="001E0D14"/>
    <w:rsid w:val="001E19B0"/>
    <w:rsid w:val="001F1F87"/>
    <w:rsid w:val="00202E28"/>
    <w:rsid w:val="0020459F"/>
    <w:rsid w:val="00205686"/>
    <w:rsid w:val="00206F02"/>
    <w:rsid w:val="00213CE9"/>
    <w:rsid w:val="00220F08"/>
    <w:rsid w:val="00225AAC"/>
    <w:rsid w:val="002267F5"/>
    <w:rsid w:val="0023255B"/>
    <w:rsid w:val="00235EF6"/>
    <w:rsid w:val="00236FC4"/>
    <w:rsid w:val="002375B4"/>
    <w:rsid w:val="0024493C"/>
    <w:rsid w:val="0025421B"/>
    <w:rsid w:val="0026075A"/>
    <w:rsid w:val="002647A9"/>
    <w:rsid w:val="00276272"/>
    <w:rsid w:val="002801EA"/>
    <w:rsid w:val="002871A2"/>
    <w:rsid w:val="00290110"/>
    <w:rsid w:val="0029225D"/>
    <w:rsid w:val="002926AC"/>
    <w:rsid w:val="002928C9"/>
    <w:rsid w:val="002A4326"/>
    <w:rsid w:val="002A7FC3"/>
    <w:rsid w:val="002B2D60"/>
    <w:rsid w:val="002C38DD"/>
    <w:rsid w:val="002C4BBA"/>
    <w:rsid w:val="002E4807"/>
    <w:rsid w:val="0030248E"/>
    <w:rsid w:val="003036F3"/>
    <w:rsid w:val="00303CFC"/>
    <w:rsid w:val="003137FD"/>
    <w:rsid w:val="00315CD8"/>
    <w:rsid w:val="003215E5"/>
    <w:rsid w:val="00325418"/>
    <w:rsid w:val="0032747D"/>
    <w:rsid w:val="00331AE6"/>
    <w:rsid w:val="0033293B"/>
    <w:rsid w:val="00335FF3"/>
    <w:rsid w:val="003364DD"/>
    <w:rsid w:val="0034000A"/>
    <w:rsid w:val="00343990"/>
    <w:rsid w:val="00343DCE"/>
    <w:rsid w:val="00354A6E"/>
    <w:rsid w:val="00355666"/>
    <w:rsid w:val="00357280"/>
    <w:rsid w:val="00364719"/>
    <w:rsid w:val="00367DEF"/>
    <w:rsid w:val="00371229"/>
    <w:rsid w:val="00376163"/>
    <w:rsid w:val="003768EE"/>
    <w:rsid w:val="00377DA3"/>
    <w:rsid w:val="003805EE"/>
    <w:rsid w:val="00381618"/>
    <w:rsid w:val="003820B2"/>
    <w:rsid w:val="00390885"/>
    <w:rsid w:val="00392AC6"/>
    <w:rsid w:val="00395C37"/>
    <w:rsid w:val="003A0C2D"/>
    <w:rsid w:val="003A1E2B"/>
    <w:rsid w:val="003B7839"/>
    <w:rsid w:val="003C52A8"/>
    <w:rsid w:val="003E2601"/>
    <w:rsid w:val="003E265C"/>
    <w:rsid w:val="003F59CC"/>
    <w:rsid w:val="00421413"/>
    <w:rsid w:val="00422DD7"/>
    <w:rsid w:val="00423216"/>
    <w:rsid w:val="00427B73"/>
    <w:rsid w:val="004323BF"/>
    <w:rsid w:val="00440384"/>
    <w:rsid w:val="004442DB"/>
    <w:rsid w:val="004471B6"/>
    <w:rsid w:val="00447E30"/>
    <w:rsid w:val="004507CC"/>
    <w:rsid w:val="00451A9C"/>
    <w:rsid w:val="00453D39"/>
    <w:rsid w:val="0045568D"/>
    <w:rsid w:val="004556C5"/>
    <w:rsid w:val="0045738A"/>
    <w:rsid w:val="004600F1"/>
    <w:rsid w:val="00464F0D"/>
    <w:rsid w:val="0046668C"/>
    <w:rsid w:val="00467F52"/>
    <w:rsid w:val="004735D1"/>
    <w:rsid w:val="004845B9"/>
    <w:rsid w:val="00487E3C"/>
    <w:rsid w:val="00490011"/>
    <w:rsid w:val="00493104"/>
    <w:rsid w:val="00494100"/>
    <w:rsid w:val="004A4ED1"/>
    <w:rsid w:val="004A75A2"/>
    <w:rsid w:val="004B5F85"/>
    <w:rsid w:val="004B6E4C"/>
    <w:rsid w:val="004C1028"/>
    <w:rsid w:val="004C109A"/>
    <w:rsid w:val="004C276A"/>
    <w:rsid w:val="004C2D06"/>
    <w:rsid w:val="004C3C00"/>
    <w:rsid w:val="004C59D9"/>
    <w:rsid w:val="004C5D41"/>
    <w:rsid w:val="004C5E89"/>
    <w:rsid w:val="004D08EB"/>
    <w:rsid w:val="004D2528"/>
    <w:rsid w:val="004D5227"/>
    <w:rsid w:val="004E3E41"/>
    <w:rsid w:val="004F16B7"/>
    <w:rsid w:val="004F4146"/>
    <w:rsid w:val="004F721B"/>
    <w:rsid w:val="00506192"/>
    <w:rsid w:val="00524F90"/>
    <w:rsid w:val="0052694A"/>
    <w:rsid w:val="00531B31"/>
    <w:rsid w:val="005354D4"/>
    <w:rsid w:val="00535D87"/>
    <w:rsid w:val="00542AFE"/>
    <w:rsid w:val="00543FFF"/>
    <w:rsid w:val="00553277"/>
    <w:rsid w:val="00553DAE"/>
    <w:rsid w:val="005551C1"/>
    <w:rsid w:val="00557D14"/>
    <w:rsid w:val="0056012C"/>
    <w:rsid w:val="00561C67"/>
    <w:rsid w:val="00563B0C"/>
    <w:rsid w:val="00566345"/>
    <w:rsid w:val="00572EB4"/>
    <w:rsid w:val="0058586C"/>
    <w:rsid w:val="0059072F"/>
    <w:rsid w:val="005915B4"/>
    <w:rsid w:val="005A3E02"/>
    <w:rsid w:val="005B3A8B"/>
    <w:rsid w:val="005B6D75"/>
    <w:rsid w:val="005C2A12"/>
    <w:rsid w:val="005D7BD2"/>
    <w:rsid w:val="005E313D"/>
    <w:rsid w:val="005F4CF0"/>
    <w:rsid w:val="0061227A"/>
    <w:rsid w:val="00613694"/>
    <w:rsid w:val="00615322"/>
    <w:rsid w:val="0061749E"/>
    <w:rsid w:val="00620E9D"/>
    <w:rsid w:val="006256AE"/>
    <w:rsid w:val="00626EDF"/>
    <w:rsid w:val="00637CC9"/>
    <w:rsid w:val="006447C4"/>
    <w:rsid w:val="00652597"/>
    <w:rsid w:val="00661350"/>
    <w:rsid w:val="00666E4D"/>
    <w:rsid w:val="006878E4"/>
    <w:rsid w:val="00687E08"/>
    <w:rsid w:val="006921D4"/>
    <w:rsid w:val="006929AB"/>
    <w:rsid w:val="00694251"/>
    <w:rsid w:val="006A10B9"/>
    <w:rsid w:val="006A7252"/>
    <w:rsid w:val="006A7556"/>
    <w:rsid w:val="006A7613"/>
    <w:rsid w:val="006B525F"/>
    <w:rsid w:val="006B7D5B"/>
    <w:rsid w:val="006C3469"/>
    <w:rsid w:val="006C404C"/>
    <w:rsid w:val="006C4881"/>
    <w:rsid w:val="006D607E"/>
    <w:rsid w:val="006E266F"/>
    <w:rsid w:val="006E2EB7"/>
    <w:rsid w:val="006E3808"/>
    <w:rsid w:val="006F0AB2"/>
    <w:rsid w:val="006F117A"/>
    <w:rsid w:val="006F4E5F"/>
    <w:rsid w:val="00705428"/>
    <w:rsid w:val="00707962"/>
    <w:rsid w:val="00712A9C"/>
    <w:rsid w:val="00713F75"/>
    <w:rsid w:val="00727494"/>
    <w:rsid w:val="00727EA5"/>
    <w:rsid w:val="007363E4"/>
    <w:rsid w:val="00741E24"/>
    <w:rsid w:val="00743CB5"/>
    <w:rsid w:val="0074451E"/>
    <w:rsid w:val="00751024"/>
    <w:rsid w:val="00771867"/>
    <w:rsid w:val="00772CE7"/>
    <w:rsid w:val="0077600A"/>
    <w:rsid w:val="0077662A"/>
    <w:rsid w:val="00786298"/>
    <w:rsid w:val="00791C9F"/>
    <w:rsid w:val="0079416D"/>
    <w:rsid w:val="007A2089"/>
    <w:rsid w:val="007A6CE6"/>
    <w:rsid w:val="007A7920"/>
    <w:rsid w:val="007C48E4"/>
    <w:rsid w:val="007D1EF1"/>
    <w:rsid w:val="007D3DBF"/>
    <w:rsid w:val="007D6454"/>
    <w:rsid w:val="007E054A"/>
    <w:rsid w:val="007E258C"/>
    <w:rsid w:val="007E2E18"/>
    <w:rsid w:val="007F43FF"/>
    <w:rsid w:val="007F472B"/>
    <w:rsid w:val="007F5B66"/>
    <w:rsid w:val="007F758E"/>
    <w:rsid w:val="007F7E5F"/>
    <w:rsid w:val="008029CF"/>
    <w:rsid w:val="00805914"/>
    <w:rsid w:val="0080784E"/>
    <w:rsid w:val="0081023D"/>
    <w:rsid w:val="00813A1D"/>
    <w:rsid w:val="00813B47"/>
    <w:rsid w:val="00813C6A"/>
    <w:rsid w:val="00814A63"/>
    <w:rsid w:val="008234A3"/>
    <w:rsid w:val="008240D7"/>
    <w:rsid w:val="00825CC2"/>
    <w:rsid w:val="008333AC"/>
    <w:rsid w:val="0083603D"/>
    <w:rsid w:val="00840F5D"/>
    <w:rsid w:val="008437D5"/>
    <w:rsid w:val="00844336"/>
    <w:rsid w:val="00847D06"/>
    <w:rsid w:val="008507E1"/>
    <w:rsid w:val="00853207"/>
    <w:rsid w:val="00862A1E"/>
    <w:rsid w:val="008633BD"/>
    <w:rsid w:val="00863705"/>
    <w:rsid w:val="00863EF3"/>
    <w:rsid w:val="008658E4"/>
    <w:rsid w:val="0087326B"/>
    <w:rsid w:val="00875386"/>
    <w:rsid w:val="0087541E"/>
    <w:rsid w:val="008820D3"/>
    <w:rsid w:val="0088218B"/>
    <w:rsid w:val="008838CA"/>
    <w:rsid w:val="0088722D"/>
    <w:rsid w:val="00891285"/>
    <w:rsid w:val="008A2DB4"/>
    <w:rsid w:val="008A32F4"/>
    <w:rsid w:val="008A50BB"/>
    <w:rsid w:val="008B28B0"/>
    <w:rsid w:val="008B3B8B"/>
    <w:rsid w:val="008C03A2"/>
    <w:rsid w:val="008C6619"/>
    <w:rsid w:val="008D15FB"/>
    <w:rsid w:val="008D17DA"/>
    <w:rsid w:val="008D4E93"/>
    <w:rsid w:val="008E1222"/>
    <w:rsid w:val="008E2A5E"/>
    <w:rsid w:val="008E3034"/>
    <w:rsid w:val="008E34CA"/>
    <w:rsid w:val="008E3616"/>
    <w:rsid w:val="008E6D68"/>
    <w:rsid w:val="008E7740"/>
    <w:rsid w:val="008F0FD2"/>
    <w:rsid w:val="008F3B1E"/>
    <w:rsid w:val="008F6725"/>
    <w:rsid w:val="008F6F96"/>
    <w:rsid w:val="009021BA"/>
    <w:rsid w:val="0091207F"/>
    <w:rsid w:val="00913DB3"/>
    <w:rsid w:val="0091438C"/>
    <w:rsid w:val="009159FA"/>
    <w:rsid w:val="00916E5A"/>
    <w:rsid w:val="00917A8B"/>
    <w:rsid w:val="009263DF"/>
    <w:rsid w:val="009273A8"/>
    <w:rsid w:val="0093214B"/>
    <w:rsid w:val="009341DF"/>
    <w:rsid w:val="00934EDC"/>
    <w:rsid w:val="00936691"/>
    <w:rsid w:val="009468FE"/>
    <w:rsid w:val="00957D1B"/>
    <w:rsid w:val="00957FDB"/>
    <w:rsid w:val="00963B91"/>
    <w:rsid w:val="0096417C"/>
    <w:rsid w:val="009679B2"/>
    <w:rsid w:val="0098042A"/>
    <w:rsid w:val="00997B85"/>
    <w:rsid w:val="009A42A9"/>
    <w:rsid w:val="009B3CC1"/>
    <w:rsid w:val="009B602E"/>
    <w:rsid w:val="009B6AF8"/>
    <w:rsid w:val="009C7DE7"/>
    <w:rsid w:val="009D12B6"/>
    <w:rsid w:val="009D4E4E"/>
    <w:rsid w:val="009E01FC"/>
    <w:rsid w:val="009E4059"/>
    <w:rsid w:val="009F07E5"/>
    <w:rsid w:val="009F1E0C"/>
    <w:rsid w:val="009F2F02"/>
    <w:rsid w:val="00A07180"/>
    <w:rsid w:val="00A1495A"/>
    <w:rsid w:val="00A14D91"/>
    <w:rsid w:val="00A16FA7"/>
    <w:rsid w:val="00A25C87"/>
    <w:rsid w:val="00A30196"/>
    <w:rsid w:val="00A30FC3"/>
    <w:rsid w:val="00A31113"/>
    <w:rsid w:val="00A33EBB"/>
    <w:rsid w:val="00A42640"/>
    <w:rsid w:val="00A443AB"/>
    <w:rsid w:val="00A52707"/>
    <w:rsid w:val="00A528DE"/>
    <w:rsid w:val="00A52D78"/>
    <w:rsid w:val="00A5406C"/>
    <w:rsid w:val="00A56B71"/>
    <w:rsid w:val="00A62A9D"/>
    <w:rsid w:val="00A63C78"/>
    <w:rsid w:val="00A64F56"/>
    <w:rsid w:val="00A76ECC"/>
    <w:rsid w:val="00A77CF0"/>
    <w:rsid w:val="00A83C4E"/>
    <w:rsid w:val="00A85375"/>
    <w:rsid w:val="00A86F4A"/>
    <w:rsid w:val="00A92993"/>
    <w:rsid w:val="00A939EC"/>
    <w:rsid w:val="00AB2951"/>
    <w:rsid w:val="00AB3B43"/>
    <w:rsid w:val="00AB4A28"/>
    <w:rsid w:val="00AD2039"/>
    <w:rsid w:val="00AD2BAA"/>
    <w:rsid w:val="00AD359A"/>
    <w:rsid w:val="00AD40B7"/>
    <w:rsid w:val="00AD56C3"/>
    <w:rsid w:val="00AE560D"/>
    <w:rsid w:val="00AE74D9"/>
    <w:rsid w:val="00AF212C"/>
    <w:rsid w:val="00AF3C63"/>
    <w:rsid w:val="00B0067E"/>
    <w:rsid w:val="00B019B5"/>
    <w:rsid w:val="00B10832"/>
    <w:rsid w:val="00B10D20"/>
    <w:rsid w:val="00B12C71"/>
    <w:rsid w:val="00B137DA"/>
    <w:rsid w:val="00B1698A"/>
    <w:rsid w:val="00B21F25"/>
    <w:rsid w:val="00B24193"/>
    <w:rsid w:val="00B25A71"/>
    <w:rsid w:val="00B314D0"/>
    <w:rsid w:val="00B40601"/>
    <w:rsid w:val="00B4075E"/>
    <w:rsid w:val="00B40AD1"/>
    <w:rsid w:val="00B52A23"/>
    <w:rsid w:val="00B607B8"/>
    <w:rsid w:val="00B61B74"/>
    <w:rsid w:val="00B61CFB"/>
    <w:rsid w:val="00B63B85"/>
    <w:rsid w:val="00B64731"/>
    <w:rsid w:val="00B70344"/>
    <w:rsid w:val="00B71C05"/>
    <w:rsid w:val="00B72A28"/>
    <w:rsid w:val="00B809CA"/>
    <w:rsid w:val="00B85564"/>
    <w:rsid w:val="00B86D89"/>
    <w:rsid w:val="00B873BC"/>
    <w:rsid w:val="00B96DBF"/>
    <w:rsid w:val="00BA0D80"/>
    <w:rsid w:val="00BA50EC"/>
    <w:rsid w:val="00BA5E9C"/>
    <w:rsid w:val="00BA622F"/>
    <w:rsid w:val="00BA6FBB"/>
    <w:rsid w:val="00BB04F0"/>
    <w:rsid w:val="00BB2713"/>
    <w:rsid w:val="00BB3556"/>
    <w:rsid w:val="00BB4066"/>
    <w:rsid w:val="00BB7824"/>
    <w:rsid w:val="00BC0D18"/>
    <w:rsid w:val="00BE115C"/>
    <w:rsid w:val="00BE3A57"/>
    <w:rsid w:val="00BE66A8"/>
    <w:rsid w:val="00BF021B"/>
    <w:rsid w:val="00C01F8F"/>
    <w:rsid w:val="00C14515"/>
    <w:rsid w:val="00C271D2"/>
    <w:rsid w:val="00C3177F"/>
    <w:rsid w:val="00C362F4"/>
    <w:rsid w:val="00C4273D"/>
    <w:rsid w:val="00C43867"/>
    <w:rsid w:val="00C5386C"/>
    <w:rsid w:val="00C719A2"/>
    <w:rsid w:val="00C759A8"/>
    <w:rsid w:val="00C90278"/>
    <w:rsid w:val="00CC11D6"/>
    <w:rsid w:val="00CC2822"/>
    <w:rsid w:val="00CC7E22"/>
    <w:rsid w:val="00CD3463"/>
    <w:rsid w:val="00CE0406"/>
    <w:rsid w:val="00CE29BD"/>
    <w:rsid w:val="00CE5FF5"/>
    <w:rsid w:val="00CE7950"/>
    <w:rsid w:val="00CF070D"/>
    <w:rsid w:val="00CF14CE"/>
    <w:rsid w:val="00CF1710"/>
    <w:rsid w:val="00CF401C"/>
    <w:rsid w:val="00CF4350"/>
    <w:rsid w:val="00D01BC3"/>
    <w:rsid w:val="00D02926"/>
    <w:rsid w:val="00D02C6A"/>
    <w:rsid w:val="00D15843"/>
    <w:rsid w:val="00D173C2"/>
    <w:rsid w:val="00D263DF"/>
    <w:rsid w:val="00D35AF9"/>
    <w:rsid w:val="00D41797"/>
    <w:rsid w:val="00D44132"/>
    <w:rsid w:val="00D520AF"/>
    <w:rsid w:val="00D54152"/>
    <w:rsid w:val="00D615A1"/>
    <w:rsid w:val="00D66485"/>
    <w:rsid w:val="00D7333A"/>
    <w:rsid w:val="00D75223"/>
    <w:rsid w:val="00D8076E"/>
    <w:rsid w:val="00D81FD9"/>
    <w:rsid w:val="00D8383D"/>
    <w:rsid w:val="00D934C5"/>
    <w:rsid w:val="00D97439"/>
    <w:rsid w:val="00D9771A"/>
    <w:rsid w:val="00DB7BD1"/>
    <w:rsid w:val="00DC3A0B"/>
    <w:rsid w:val="00DD2F35"/>
    <w:rsid w:val="00DE23BE"/>
    <w:rsid w:val="00DE62B7"/>
    <w:rsid w:val="00DF069E"/>
    <w:rsid w:val="00E0280B"/>
    <w:rsid w:val="00E06A25"/>
    <w:rsid w:val="00E10ADD"/>
    <w:rsid w:val="00E10D11"/>
    <w:rsid w:val="00E13AFB"/>
    <w:rsid w:val="00E22C95"/>
    <w:rsid w:val="00E22F0B"/>
    <w:rsid w:val="00E5476D"/>
    <w:rsid w:val="00E55525"/>
    <w:rsid w:val="00E55E0A"/>
    <w:rsid w:val="00E57692"/>
    <w:rsid w:val="00E60741"/>
    <w:rsid w:val="00E617E3"/>
    <w:rsid w:val="00E64429"/>
    <w:rsid w:val="00E660E0"/>
    <w:rsid w:val="00E679C5"/>
    <w:rsid w:val="00E70469"/>
    <w:rsid w:val="00E714AB"/>
    <w:rsid w:val="00E743AF"/>
    <w:rsid w:val="00E846DE"/>
    <w:rsid w:val="00E86549"/>
    <w:rsid w:val="00E92800"/>
    <w:rsid w:val="00E96DEC"/>
    <w:rsid w:val="00EA3ED4"/>
    <w:rsid w:val="00EA48F3"/>
    <w:rsid w:val="00EB1DFA"/>
    <w:rsid w:val="00EB5168"/>
    <w:rsid w:val="00EB5604"/>
    <w:rsid w:val="00EC3F74"/>
    <w:rsid w:val="00EC5378"/>
    <w:rsid w:val="00EC556D"/>
    <w:rsid w:val="00EC7CAF"/>
    <w:rsid w:val="00ED5C83"/>
    <w:rsid w:val="00EE08FB"/>
    <w:rsid w:val="00EE3C79"/>
    <w:rsid w:val="00EE56EB"/>
    <w:rsid w:val="00EF0199"/>
    <w:rsid w:val="00EF3CE1"/>
    <w:rsid w:val="00EF481F"/>
    <w:rsid w:val="00EF670B"/>
    <w:rsid w:val="00EF6F14"/>
    <w:rsid w:val="00EF76B2"/>
    <w:rsid w:val="00EF7CCD"/>
    <w:rsid w:val="00F01793"/>
    <w:rsid w:val="00F055F4"/>
    <w:rsid w:val="00F101E5"/>
    <w:rsid w:val="00F12405"/>
    <w:rsid w:val="00F21312"/>
    <w:rsid w:val="00F263EF"/>
    <w:rsid w:val="00F32AAE"/>
    <w:rsid w:val="00F34192"/>
    <w:rsid w:val="00F37222"/>
    <w:rsid w:val="00F45CDA"/>
    <w:rsid w:val="00F46DC3"/>
    <w:rsid w:val="00F500A7"/>
    <w:rsid w:val="00F53F60"/>
    <w:rsid w:val="00F57DA6"/>
    <w:rsid w:val="00F75247"/>
    <w:rsid w:val="00F81754"/>
    <w:rsid w:val="00F852C1"/>
    <w:rsid w:val="00F95578"/>
    <w:rsid w:val="00FA3664"/>
    <w:rsid w:val="00FA7C5A"/>
    <w:rsid w:val="00FB3443"/>
    <w:rsid w:val="00FB54E2"/>
    <w:rsid w:val="00FC372F"/>
    <w:rsid w:val="00FD1FEF"/>
    <w:rsid w:val="00FE40C7"/>
    <w:rsid w:val="00FE456A"/>
    <w:rsid w:val="00FE720C"/>
    <w:rsid w:val="00FF15CD"/>
    <w:rsid w:val="00FF6A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1F82B"/>
  <w15:chartTrackingRefBased/>
  <w15:docId w15:val="{FB83AC51-8B61-491E-87B7-7140BC91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5259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63E4"/>
    <w:pPr>
      <w:tabs>
        <w:tab w:val="center" w:pos="4536"/>
        <w:tab w:val="right" w:pos="9072"/>
      </w:tabs>
      <w:spacing w:after="0" w:line="240" w:lineRule="auto"/>
    </w:pPr>
  </w:style>
  <w:style w:type="character" w:customStyle="1" w:styleId="En-tteCar">
    <w:name w:val="En-tête Car"/>
    <w:basedOn w:val="Policepardfaut"/>
    <w:link w:val="En-tte"/>
    <w:uiPriority w:val="99"/>
    <w:rsid w:val="007363E4"/>
  </w:style>
  <w:style w:type="paragraph" w:styleId="Pieddepage">
    <w:name w:val="footer"/>
    <w:basedOn w:val="Normal"/>
    <w:link w:val="PieddepageCar"/>
    <w:uiPriority w:val="99"/>
    <w:unhideWhenUsed/>
    <w:rsid w:val="007363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63E4"/>
  </w:style>
  <w:style w:type="paragraph" w:customStyle="1" w:styleId="Contenu">
    <w:name w:val="Contenu"/>
    <w:basedOn w:val="Normal"/>
    <w:link w:val="Caractredecontenu"/>
    <w:qFormat/>
    <w:rsid w:val="004845B9"/>
    <w:pPr>
      <w:spacing w:after="0" w:line="276" w:lineRule="auto"/>
    </w:pPr>
    <w:rPr>
      <w:rFonts w:eastAsiaTheme="minorEastAsia"/>
      <w:color w:val="44546A" w:themeColor="text2"/>
      <w:sz w:val="28"/>
    </w:rPr>
  </w:style>
  <w:style w:type="character" w:customStyle="1" w:styleId="Caractredecontenu">
    <w:name w:val="Caractère de contenu"/>
    <w:basedOn w:val="Policepardfaut"/>
    <w:link w:val="Contenu"/>
    <w:rsid w:val="004845B9"/>
    <w:rPr>
      <w:rFonts w:eastAsiaTheme="minorEastAsia"/>
      <w:color w:val="44546A" w:themeColor="text2"/>
      <w:sz w:val="28"/>
    </w:rPr>
  </w:style>
  <w:style w:type="paragraph" w:styleId="Paragraphedeliste">
    <w:name w:val="List Paragraph"/>
    <w:basedOn w:val="Normal"/>
    <w:uiPriority w:val="34"/>
    <w:qFormat/>
    <w:rsid w:val="00B25A71"/>
    <w:pPr>
      <w:ind w:left="720"/>
      <w:contextualSpacing/>
    </w:pPr>
  </w:style>
  <w:style w:type="character" w:styleId="Lienhypertexte">
    <w:name w:val="Hyperlink"/>
    <w:basedOn w:val="Policepardfaut"/>
    <w:uiPriority w:val="99"/>
    <w:semiHidden/>
    <w:unhideWhenUsed/>
    <w:rsid w:val="0033293B"/>
    <w:rPr>
      <w:color w:val="0000FF"/>
      <w:u w:val="single"/>
    </w:rPr>
  </w:style>
  <w:style w:type="character" w:styleId="Accentuation">
    <w:name w:val="Emphasis"/>
    <w:basedOn w:val="Policepardfaut"/>
    <w:uiPriority w:val="20"/>
    <w:qFormat/>
    <w:rsid w:val="0033293B"/>
    <w:rPr>
      <w:i/>
      <w:iCs/>
    </w:rPr>
  </w:style>
  <w:style w:type="paragraph" w:styleId="NormalWeb">
    <w:name w:val="Normal (Web)"/>
    <w:basedOn w:val="Normal"/>
    <w:uiPriority w:val="99"/>
    <w:unhideWhenUsed/>
    <w:rsid w:val="00B61B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652597"/>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E5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49599">
      <w:bodyDiv w:val="1"/>
      <w:marLeft w:val="0"/>
      <w:marRight w:val="0"/>
      <w:marTop w:val="0"/>
      <w:marBottom w:val="0"/>
      <w:divBdr>
        <w:top w:val="none" w:sz="0" w:space="0" w:color="auto"/>
        <w:left w:val="none" w:sz="0" w:space="0" w:color="auto"/>
        <w:bottom w:val="none" w:sz="0" w:space="0" w:color="auto"/>
        <w:right w:val="none" w:sz="0" w:space="0" w:color="auto"/>
      </w:divBdr>
    </w:div>
    <w:div w:id="451021748">
      <w:bodyDiv w:val="1"/>
      <w:marLeft w:val="0"/>
      <w:marRight w:val="0"/>
      <w:marTop w:val="0"/>
      <w:marBottom w:val="0"/>
      <w:divBdr>
        <w:top w:val="none" w:sz="0" w:space="0" w:color="auto"/>
        <w:left w:val="none" w:sz="0" w:space="0" w:color="auto"/>
        <w:bottom w:val="none" w:sz="0" w:space="0" w:color="auto"/>
        <w:right w:val="none" w:sz="0" w:space="0" w:color="auto"/>
      </w:divBdr>
    </w:div>
    <w:div w:id="701441534">
      <w:bodyDiv w:val="1"/>
      <w:marLeft w:val="0"/>
      <w:marRight w:val="0"/>
      <w:marTop w:val="0"/>
      <w:marBottom w:val="0"/>
      <w:divBdr>
        <w:top w:val="none" w:sz="0" w:space="0" w:color="auto"/>
        <w:left w:val="none" w:sz="0" w:space="0" w:color="auto"/>
        <w:bottom w:val="none" w:sz="0" w:space="0" w:color="auto"/>
        <w:right w:val="none" w:sz="0" w:space="0" w:color="auto"/>
      </w:divBdr>
    </w:div>
    <w:div w:id="1242720767">
      <w:bodyDiv w:val="1"/>
      <w:marLeft w:val="0"/>
      <w:marRight w:val="0"/>
      <w:marTop w:val="0"/>
      <w:marBottom w:val="0"/>
      <w:divBdr>
        <w:top w:val="none" w:sz="0" w:space="0" w:color="auto"/>
        <w:left w:val="none" w:sz="0" w:space="0" w:color="auto"/>
        <w:bottom w:val="none" w:sz="0" w:space="0" w:color="auto"/>
        <w:right w:val="none" w:sz="0" w:space="0" w:color="auto"/>
      </w:divBdr>
    </w:div>
    <w:div w:id="1321499104">
      <w:bodyDiv w:val="1"/>
      <w:marLeft w:val="0"/>
      <w:marRight w:val="0"/>
      <w:marTop w:val="0"/>
      <w:marBottom w:val="0"/>
      <w:divBdr>
        <w:top w:val="none" w:sz="0" w:space="0" w:color="auto"/>
        <w:left w:val="none" w:sz="0" w:space="0" w:color="auto"/>
        <w:bottom w:val="none" w:sz="0" w:space="0" w:color="auto"/>
        <w:right w:val="none" w:sz="0" w:space="0" w:color="auto"/>
      </w:divBdr>
    </w:div>
    <w:div w:id="17084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1176</Words>
  <Characters>6474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sitbon</dc:creator>
  <cp:keywords/>
  <dc:description/>
  <cp:lastModifiedBy>david sitbon</cp:lastModifiedBy>
  <cp:revision>2</cp:revision>
  <cp:lastPrinted>2021-02-11T08:16:00Z</cp:lastPrinted>
  <dcterms:created xsi:type="dcterms:W3CDTF">2022-03-29T09:49:00Z</dcterms:created>
  <dcterms:modified xsi:type="dcterms:W3CDTF">2022-03-29T09:49:00Z</dcterms:modified>
</cp:coreProperties>
</file>