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598BE" w14:textId="0A24A552" w:rsidR="004845B9" w:rsidRDefault="004845B9">
      <w:bookmarkStart w:id="0" w:name="_Hlk55374615"/>
      <w:bookmarkEnd w:id="0"/>
    </w:p>
    <w:p w14:paraId="3AE6E845" w14:textId="77777777" w:rsidR="00E743AF" w:rsidRDefault="00E743AF"/>
    <w:p w14:paraId="007238A0" w14:textId="38F2FF02" w:rsidR="00F21312" w:rsidRPr="00DF069E" w:rsidRDefault="00F21312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5AB15B92" w14:textId="3728A919" w:rsidR="00A1495A" w:rsidRDefault="00F21312" w:rsidP="001E0D14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  <w:r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Lors de notre dernière lettre, </w:t>
      </w:r>
      <w:r w:rsidR="00BF021B" w:rsidRPr="004C59D9">
        <w:rPr>
          <w:rFonts w:asciiTheme="majorHAnsi" w:hAnsiTheme="majorHAnsi" w:cstheme="majorHAnsi"/>
          <w:color w:val="1F3864" w:themeColor="accent1" w:themeShade="80"/>
          <w:sz w:val="22"/>
        </w:rPr>
        <w:t>nous</w:t>
      </w:r>
      <w:r w:rsidR="00A1495A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  <w:r w:rsidR="001E0D14" w:rsidRPr="004C59D9">
        <w:rPr>
          <w:rFonts w:asciiTheme="majorHAnsi" w:hAnsiTheme="majorHAnsi" w:cstheme="majorHAnsi"/>
          <w:color w:val="1F3864" w:themeColor="accent1" w:themeShade="80"/>
          <w:sz w:val="22"/>
        </w:rPr>
        <w:t>pensions que les bonnes nouvelles étaient désormais en grande partie dans les cours</w:t>
      </w:r>
      <w:r w:rsidR="000B4532">
        <w:rPr>
          <w:rFonts w:asciiTheme="majorHAnsi" w:hAnsiTheme="majorHAnsi" w:cstheme="majorHAnsi"/>
          <w:color w:val="1F3864" w:themeColor="accent1" w:themeShade="80"/>
          <w:sz w:val="22"/>
        </w:rPr>
        <w:t xml:space="preserve"> et n’attendions </w:t>
      </w:r>
      <w:r w:rsidR="001E0D14" w:rsidRPr="004C59D9">
        <w:rPr>
          <w:rFonts w:asciiTheme="majorHAnsi" w:hAnsiTheme="majorHAnsi" w:cstheme="majorHAnsi"/>
          <w:color w:val="1F3864" w:themeColor="accent1" w:themeShade="80"/>
          <w:sz w:val="22"/>
        </w:rPr>
        <w:t>pas de hausse importante des marchés actions à court terme</w:t>
      </w:r>
      <w:r w:rsidR="001E0D14" w:rsidRPr="004C59D9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 xml:space="preserve">. </w:t>
      </w:r>
    </w:p>
    <w:p w14:paraId="4FC42C10" w14:textId="77777777" w:rsidR="00024DE7" w:rsidRDefault="00024DE7" w:rsidP="00024DE7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>
        <w:rPr>
          <w:rFonts w:asciiTheme="majorHAnsi" w:hAnsiTheme="majorHAnsi" w:cstheme="majorHAnsi"/>
          <w:color w:val="1F3864" w:themeColor="accent1" w:themeShade="80"/>
          <w:sz w:val="22"/>
        </w:rPr>
        <w:t>Les marchés actions n’ont depuis notre dernière lettre pas évolué de manière significative (+2/3% de hausse sur les marchés actions européennes sur les trois derniers mois).</w:t>
      </w:r>
    </w:p>
    <w:p w14:paraId="2DEBF289" w14:textId="77777777" w:rsidR="00024DE7" w:rsidRDefault="00024DE7" w:rsidP="001E0D14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61404281" w14:textId="77777777" w:rsidR="000B4532" w:rsidRDefault="00F75247" w:rsidP="001E0D14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4C59D9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 xml:space="preserve">Nous </w:t>
      </w:r>
      <w:r w:rsidR="00EB5604" w:rsidRPr="004C59D9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 xml:space="preserve">envisageons </w:t>
      </w:r>
      <w:r w:rsidR="00847D06" w:rsidRPr="004C59D9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 xml:space="preserve">désormais </w:t>
      </w:r>
      <w:r w:rsidR="00EB5604" w:rsidRPr="004C59D9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 xml:space="preserve">une prise de </w:t>
      </w:r>
      <w:r w:rsidR="007D3DBF" w:rsidRPr="004C59D9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>bénéfice</w:t>
      </w:r>
      <w:r w:rsidR="00EB5604" w:rsidRPr="004C59D9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 xml:space="preserve"> </w:t>
      </w:r>
      <w:r w:rsidR="00124EBB"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  <w:t>sur les marchés</w:t>
      </w:r>
      <w:r w:rsidR="007D3DBF" w:rsidRPr="004C59D9">
        <w:rPr>
          <w:rFonts w:asciiTheme="majorHAnsi" w:hAnsiTheme="majorHAnsi" w:cstheme="majorHAnsi"/>
          <w:color w:val="1F3864" w:themeColor="accent1" w:themeShade="80"/>
          <w:sz w:val="22"/>
        </w:rPr>
        <w:t>, sans</w:t>
      </w:r>
      <w:r w:rsidR="008838CA"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 cependant enrayer le cycle de croissance des marchés.</w:t>
      </w:r>
      <w:r w:rsidR="00EB5604"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</w:p>
    <w:p w14:paraId="48670137" w14:textId="77777777" w:rsidR="000B4532" w:rsidRDefault="000B4532" w:rsidP="001E0D14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27868775" w14:textId="115043BA" w:rsidR="001E0D14" w:rsidRPr="004C59D9" w:rsidRDefault="008838CA" w:rsidP="001E0D14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4C59D9">
        <w:rPr>
          <w:rFonts w:asciiTheme="majorHAnsi" w:hAnsiTheme="majorHAnsi" w:cstheme="majorHAnsi"/>
          <w:color w:val="1F3864" w:themeColor="accent1" w:themeShade="80"/>
          <w:sz w:val="22"/>
        </w:rPr>
        <w:t>Ainsi</w:t>
      </w:r>
      <w:r w:rsidR="001E0D14"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, nous </w:t>
      </w:r>
      <w:r w:rsidR="00BB2713"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ne modifions pas </w:t>
      </w:r>
      <w:r w:rsidR="001E0D14"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de manière significative nos allocations d’actifs, en effet, le stock picking, ou choix d’investir dans certaines actions </w:t>
      </w:r>
      <w:r w:rsidR="002801EA">
        <w:rPr>
          <w:rFonts w:asciiTheme="majorHAnsi" w:hAnsiTheme="majorHAnsi" w:cstheme="majorHAnsi"/>
          <w:color w:val="1F3864" w:themeColor="accent1" w:themeShade="80"/>
          <w:sz w:val="22"/>
        </w:rPr>
        <w:t xml:space="preserve">ou classe d’actifs </w:t>
      </w:r>
      <w:r w:rsidR="001E0D14" w:rsidRPr="004C59D9">
        <w:rPr>
          <w:rFonts w:asciiTheme="majorHAnsi" w:hAnsiTheme="majorHAnsi" w:cstheme="majorHAnsi"/>
          <w:color w:val="1F3864" w:themeColor="accent1" w:themeShade="80"/>
          <w:sz w:val="22"/>
        </w:rPr>
        <w:t>sera le principal objectif pour bénéficier de rendement intéressant.</w:t>
      </w:r>
    </w:p>
    <w:p w14:paraId="7EC55C7F" w14:textId="404128AE" w:rsidR="008838CA" w:rsidRDefault="00EB5604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Les </w:t>
      </w:r>
      <w:r w:rsidR="007D3DBF" w:rsidRPr="004C59D9">
        <w:rPr>
          <w:rFonts w:asciiTheme="majorHAnsi" w:hAnsiTheme="majorHAnsi" w:cstheme="majorHAnsi"/>
          <w:color w:val="1F3864" w:themeColor="accent1" w:themeShade="80"/>
          <w:sz w:val="22"/>
        </w:rPr>
        <w:t>fonds</w:t>
      </w:r>
      <w:r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 dans lesquels nous avons investi </w:t>
      </w:r>
      <w:r w:rsidR="008838CA"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bénéficient d’une expertise </w:t>
      </w:r>
      <w:r w:rsidR="00B64731">
        <w:rPr>
          <w:rFonts w:asciiTheme="majorHAnsi" w:hAnsiTheme="majorHAnsi" w:cstheme="majorHAnsi"/>
          <w:color w:val="1F3864" w:themeColor="accent1" w:themeShade="80"/>
          <w:sz w:val="22"/>
        </w:rPr>
        <w:t xml:space="preserve">structurelle </w:t>
      </w:r>
      <w:r w:rsidR="00D8383D">
        <w:rPr>
          <w:rFonts w:asciiTheme="majorHAnsi" w:hAnsiTheme="majorHAnsi" w:cstheme="majorHAnsi"/>
          <w:color w:val="1F3864" w:themeColor="accent1" w:themeShade="80"/>
          <w:sz w:val="22"/>
        </w:rPr>
        <w:t>en termes de</w:t>
      </w:r>
      <w:r w:rsidR="008838CA" w:rsidRPr="004C59D9">
        <w:rPr>
          <w:rFonts w:asciiTheme="majorHAnsi" w:hAnsiTheme="majorHAnsi" w:cstheme="majorHAnsi"/>
          <w:color w:val="1F3864" w:themeColor="accent1" w:themeShade="80"/>
          <w:sz w:val="22"/>
        </w:rPr>
        <w:t xml:space="preserve"> stock picking.</w:t>
      </w:r>
    </w:p>
    <w:p w14:paraId="1BF90768" w14:textId="77777777" w:rsidR="00024DE7" w:rsidRDefault="00024DE7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156FA627" w14:textId="41E96FB0" w:rsidR="008838CA" w:rsidRDefault="008838CA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>
        <w:rPr>
          <w:rFonts w:asciiTheme="majorHAnsi" w:hAnsiTheme="majorHAnsi" w:cstheme="majorHAnsi"/>
          <w:color w:val="1F3864" w:themeColor="accent1" w:themeShade="80"/>
          <w:sz w:val="22"/>
        </w:rPr>
        <w:t>Les raisons pour lesquelles, nous pensons qu’une prise de</w:t>
      </w:r>
      <w:r w:rsidR="00694251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bénéfice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 pourrait avoir lieu à court terme sont les suivant</w:t>
      </w:r>
      <w:r w:rsidR="00B21F25">
        <w:rPr>
          <w:rFonts w:asciiTheme="majorHAnsi" w:hAnsiTheme="majorHAnsi" w:cstheme="majorHAnsi"/>
          <w:color w:val="1F3864" w:themeColor="accent1" w:themeShade="80"/>
          <w:sz w:val="22"/>
        </w:rPr>
        <w:t>e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>s :</w:t>
      </w:r>
    </w:p>
    <w:p w14:paraId="00D39E75" w14:textId="517295FE" w:rsidR="00694251" w:rsidRDefault="00694251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33F1008D" w14:textId="4F08D6FC" w:rsidR="00694251" w:rsidRPr="00CE0406" w:rsidRDefault="00694251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</w:pPr>
      <w:r w:rsidRPr="00CE0406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1/</w:t>
      </w:r>
      <w:r w:rsidR="00124EBB" w:rsidRPr="00CE0406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 </w:t>
      </w:r>
      <w:r w:rsidR="005C2A12" w:rsidRPr="00CE0406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Les risques </w:t>
      </w:r>
      <w:r w:rsidR="00652597" w:rsidRPr="00CE0406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concernant les </w:t>
      </w:r>
      <w:r w:rsidR="007D3DBF" w:rsidRPr="00CE0406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banques</w:t>
      </w:r>
      <w:r w:rsidR="00652597" w:rsidRPr="00CE0406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 centrales</w:t>
      </w:r>
    </w:p>
    <w:p w14:paraId="48118BB3" w14:textId="64293980" w:rsidR="00652597" w:rsidRDefault="00652597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109D603A" w14:textId="5308617D" w:rsidR="00D02C6A" w:rsidRDefault="0080784E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>
        <w:rPr>
          <w:rFonts w:asciiTheme="majorHAnsi" w:hAnsiTheme="majorHAnsi" w:cstheme="majorHAnsi"/>
          <w:color w:val="1F3864" w:themeColor="accent1" w:themeShade="80"/>
          <w:sz w:val="22"/>
        </w:rPr>
        <w:t>L</w:t>
      </w:r>
      <w:r w:rsidR="00620E9D">
        <w:rPr>
          <w:rFonts w:asciiTheme="majorHAnsi" w:hAnsiTheme="majorHAnsi" w:cstheme="majorHAnsi"/>
          <w:color w:val="1F3864" w:themeColor="accent1" w:themeShade="80"/>
          <w:sz w:val="22"/>
        </w:rPr>
        <w:t>’</w:t>
      </w:r>
      <w:r w:rsidR="00566345">
        <w:rPr>
          <w:rFonts w:asciiTheme="majorHAnsi" w:hAnsiTheme="majorHAnsi" w:cstheme="majorHAnsi"/>
          <w:color w:val="1F3864" w:themeColor="accent1" w:themeShade="80"/>
          <w:sz w:val="22"/>
        </w:rPr>
        <w:t>annonce</w:t>
      </w:r>
      <w:r w:rsidR="009D4E4E">
        <w:rPr>
          <w:rFonts w:asciiTheme="majorHAnsi" w:hAnsiTheme="majorHAnsi" w:cstheme="majorHAnsi"/>
          <w:color w:val="1F3864" w:themeColor="accent1" w:themeShade="80"/>
          <w:sz w:val="22"/>
        </w:rPr>
        <w:t xml:space="preserve"> de </w:t>
      </w:r>
      <w:r w:rsidR="00566345">
        <w:rPr>
          <w:rFonts w:asciiTheme="majorHAnsi" w:hAnsiTheme="majorHAnsi" w:cstheme="majorHAnsi"/>
          <w:color w:val="1F3864" w:themeColor="accent1" w:themeShade="80"/>
          <w:sz w:val="22"/>
        </w:rPr>
        <w:t>la baisse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 du montant de rachat des obligations </w:t>
      </w:r>
      <w:r w:rsidR="006E266F">
        <w:rPr>
          <w:rFonts w:asciiTheme="majorHAnsi" w:hAnsiTheme="majorHAnsi" w:cstheme="majorHAnsi"/>
          <w:color w:val="1F3864" w:themeColor="accent1" w:themeShade="80"/>
          <w:sz w:val="22"/>
        </w:rPr>
        <w:t xml:space="preserve">de la part de la banque centrale </w:t>
      </w:r>
      <w:proofErr w:type="gramStart"/>
      <w:r w:rsidR="006E266F">
        <w:rPr>
          <w:rFonts w:asciiTheme="majorHAnsi" w:hAnsiTheme="majorHAnsi" w:cstheme="majorHAnsi"/>
          <w:color w:val="1F3864" w:themeColor="accent1" w:themeShade="80"/>
          <w:sz w:val="22"/>
        </w:rPr>
        <w:t>américaine</w:t>
      </w:r>
      <w:proofErr w:type="gramEnd"/>
      <w:r w:rsidR="006E266F">
        <w:rPr>
          <w:rFonts w:asciiTheme="majorHAnsi" w:hAnsiTheme="majorHAnsi" w:cstheme="majorHAnsi"/>
          <w:color w:val="1F3864" w:themeColor="accent1" w:themeShade="80"/>
          <w:sz w:val="22"/>
        </w:rPr>
        <w:t xml:space="preserve"> devrait arriver en novembre / décembre (</w:t>
      </w:r>
      <w:r w:rsidR="00D02C6A">
        <w:rPr>
          <w:rFonts w:asciiTheme="majorHAnsi" w:hAnsiTheme="majorHAnsi" w:cstheme="majorHAnsi"/>
          <w:color w:val="1F3864" w:themeColor="accent1" w:themeShade="80"/>
          <w:sz w:val="22"/>
        </w:rPr>
        <w:t xml:space="preserve">c’est là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où</w:t>
      </w:r>
      <w:r w:rsidR="00D02C6A">
        <w:rPr>
          <w:rFonts w:asciiTheme="majorHAnsi" w:hAnsiTheme="majorHAnsi" w:cstheme="majorHAnsi"/>
          <w:color w:val="1F3864" w:themeColor="accent1" w:themeShade="80"/>
          <w:sz w:val="22"/>
        </w:rPr>
        <w:t xml:space="preserve"> se situe le consensus). Le montant de la réduction </w:t>
      </w:r>
      <w:r w:rsidR="00447E30">
        <w:rPr>
          <w:rFonts w:asciiTheme="majorHAnsi" w:hAnsiTheme="majorHAnsi" w:cstheme="majorHAnsi"/>
          <w:color w:val="1F3864" w:themeColor="accent1" w:themeShade="80"/>
          <w:sz w:val="22"/>
        </w:rPr>
        <w:t xml:space="preserve">déterminera à notre avis </w:t>
      </w:r>
      <w:r w:rsidR="00161573">
        <w:rPr>
          <w:rFonts w:asciiTheme="majorHAnsi" w:hAnsiTheme="majorHAnsi" w:cstheme="majorHAnsi"/>
          <w:color w:val="1F3864" w:themeColor="accent1" w:themeShade="80"/>
          <w:sz w:val="22"/>
        </w:rPr>
        <w:t xml:space="preserve">l’ampleur de la prise de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bénéfice</w:t>
      </w:r>
      <w:r w:rsidR="00161573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  <w:r w:rsidR="00EF3CE1">
        <w:rPr>
          <w:rFonts w:asciiTheme="majorHAnsi" w:hAnsiTheme="majorHAnsi" w:cstheme="majorHAnsi"/>
          <w:color w:val="1F3864" w:themeColor="accent1" w:themeShade="80"/>
          <w:sz w:val="22"/>
        </w:rPr>
        <w:t>s</w:t>
      </w:r>
      <w:r w:rsidR="00161573">
        <w:rPr>
          <w:rFonts w:asciiTheme="majorHAnsi" w:hAnsiTheme="majorHAnsi" w:cstheme="majorHAnsi"/>
          <w:color w:val="1F3864" w:themeColor="accent1" w:themeShade="80"/>
          <w:sz w:val="22"/>
        </w:rPr>
        <w:t>ur les marchés</w:t>
      </w:r>
      <w:r w:rsidR="00C5386C">
        <w:rPr>
          <w:rFonts w:asciiTheme="majorHAnsi" w:hAnsiTheme="majorHAnsi" w:cstheme="majorHAnsi"/>
          <w:color w:val="1F3864" w:themeColor="accent1" w:themeShade="80"/>
          <w:sz w:val="22"/>
        </w:rPr>
        <w:t xml:space="preserve"> (qui dit baisse du montant des rachat</w:t>
      </w:r>
      <w:r w:rsidR="004F4146">
        <w:rPr>
          <w:rFonts w:asciiTheme="majorHAnsi" w:hAnsiTheme="majorHAnsi" w:cstheme="majorHAnsi"/>
          <w:color w:val="1F3864" w:themeColor="accent1" w:themeShade="80"/>
          <w:sz w:val="22"/>
        </w:rPr>
        <w:t>s</w:t>
      </w:r>
      <w:r w:rsidR="00C5386C">
        <w:rPr>
          <w:rFonts w:asciiTheme="majorHAnsi" w:hAnsiTheme="majorHAnsi" w:cstheme="majorHAnsi"/>
          <w:color w:val="1F3864" w:themeColor="accent1" w:themeShade="80"/>
          <w:sz w:val="22"/>
        </w:rPr>
        <w:t xml:space="preserve"> obligataires, dit </w:t>
      </w:r>
      <w:r w:rsidR="00825CC2">
        <w:rPr>
          <w:rFonts w:asciiTheme="majorHAnsi" w:hAnsiTheme="majorHAnsi" w:cstheme="majorHAnsi"/>
          <w:color w:val="1F3864" w:themeColor="accent1" w:themeShade="80"/>
          <w:sz w:val="22"/>
        </w:rPr>
        <w:t xml:space="preserve">potentiellement </w:t>
      </w:r>
      <w:r w:rsidR="00C5386C">
        <w:rPr>
          <w:rFonts w:asciiTheme="majorHAnsi" w:hAnsiTheme="majorHAnsi" w:cstheme="majorHAnsi"/>
          <w:color w:val="1F3864" w:themeColor="accent1" w:themeShade="80"/>
          <w:sz w:val="22"/>
        </w:rPr>
        <w:t>hausse des taux</w:t>
      </w:r>
      <w:r w:rsidR="00566345">
        <w:rPr>
          <w:rFonts w:asciiTheme="majorHAnsi" w:hAnsiTheme="majorHAnsi" w:cstheme="majorHAnsi"/>
          <w:color w:val="1F3864" w:themeColor="accent1" w:themeShade="80"/>
          <w:sz w:val="22"/>
        </w:rPr>
        <w:t>).</w:t>
      </w:r>
    </w:p>
    <w:p w14:paraId="4EC948DA" w14:textId="6F50E89E" w:rsidR="00B137DA" w:rsidRDefault="00B137DA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>
        <w:rPr>
          <w:rFonts w:asciiTheme="majorHAnsi" w:hAnsiTheme="majorHAnsi" w:cstheme="majorHAnsi"/>
          <w:color w:val="1F3864" w:themeColor="accent1" w:themeShade="80"/>
          <w:sz w:val="22"/>
        </w:rPr>
        <w:t>Le</w:t>
      </w:r>
      <w:r w:rsidR="00EF3CE1">
        <w:rPr>
          <w:rFonts w:asciiTheme="majorHAnsi" w:hAnsiTheme="majorHAnsi" w:cstheme="majorHAnsi"/>
          <w:color w:val="1F3864" w:themeColor="accent1" w:themeShade="80"/>
          <w:sz w:val="22"/>
        </w:rPr>
        <w:t>s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 marché</w:t>
      </w:r>
      <w:r w:rsidR="00EF3CE1">
        <w:rPr>
          <w:rFonts w:asciiTheme="majorHAnsi" w:hAnsiTheme="majorHAnsi" w:cstheme="majorHAnsi"/>
          <w:color w:val="1F3864" w:themeColor="accent1" w:themeShade="80"/>
          <w:sz w:val="22"/>
        </w:rPr>
        <w:t xml:space="preserve">s actions et obligataires 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>ser</w:t>
      </w:r>
      <w:r w:rsidR="00EF3CE1">
        <w:rPr>
          <w:rFonts w:asciiTheme="majorHAnsi" w:hAnsiTheme="majorHAnsi" w:cstheme="majorHAnsi"/>
          <w:color w:val="1F3864" w:themeColor="accent1" w:themeShade="80"/>
          <w:sz w:val="22"/>
        </w:rPr>
        <w:t>ont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 surement plus volatile</w:t>
      </w:r>
      <w:r w:rsidR="00CF1710">
        <w:rPr>
          <w:rFonts w:asciiTheme="majorHAnsi" w:hAnsiTheme="majorHAnsi" w:cstheme="majorHAnsi"/>
          <w:color w:val="1F3864" w:themeColor="accent1" w:themeShade="80"/>
          <w:sz w:val="22"/>
        </w:rPr>
        <w:t>s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 à l’approche de cette décision.</w:t>
      </w:r>
    </w:p>
    <w:p w14:paraId="11FEE7E5" w14:textId="1B72F643" w:rsidR="00A42640" w:rsidRDefault="008A32F4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Pour rappel, après avoir essuyé une baisse des marchés début septembre en attendant le discours de </w:t>
      </w:r>
      <w:r w:rsidR="006F117A">
        <w:rPr>
          <w:rFonts w:asciiTheme="majorHAnsi" w:hAnsiTheme="majorHAnsi" w:cstheme="majorHAnsi"/>
          <w:color w:val="1F3864" w:themeColor="accent1" w:themeShade="80"/>
          <w:sz w:val="22"/>
        </w:rPr>
        <w:t>la présidente de la banque centrale européenne le 9 septembre, le</w:t>
      </w:r>
      <w:r w:rsidR="007F5B66">
        <w:rPr>
          <w:rFonts w:asciiTheme="majorHAnsi" w:hAnsiTheme="majorHAnsi" w:cstheme="majorHAnsi"/>
          <w:color w:val="1F3864" w:themeColor="accent1" w:themeShade="80"/>
          <w:sz w:val="22"/>
        </w:rPr>
        <w:t>s</w:t>
      </w:r>
      <w:r w:rsidR="006F117A">
        <w:rPr>
          <w:rFonts w:asciiTheme="majorHAnsi" w:hAnsiTheme="majorHAnsi" w:cstheme="majorHAnsi"/>
          <w:color w:val="1F3864" w:themeColor="accent1" w:themeShade="80"/>
          <w:sz w:val="22"/>
        </w:rPr>
        <w:t xml:space="preserve"> marché</w:t>
      </w:r>
      <w:r w:rsidR="007F5B66">
        <w:rPr>
          <w:rFonts w:asciiTheme="majorHAnsi" w:hAnsiTheme="majorHAnsi" w:cstheme="majorHAnsi"/>
          <w:color w:val="1F3864" w:themeColor="accent1" w:themeShade="80"/>
          <w:sz w:val="22"/>
        </w:rPr>
        <w:t>s</w:t>
      </w:r>
      <w:r w:rsidR="006F117A">
        <w:rPr>
          <w:rFonts w:asciiTheme="majorHAnsi" w:hAnsiTheme="majorHAnsi" w:cstheme="majorHAnsi"/>
          <w:color w:val="1F3864" w:themeColor="accent1" w:themeShade="80"/>
          <w:sz w:val="22"/>
        </w:rPr>
        <w:t xml:space="preserve"> action</w:t>
      </w:r>
      <w:r w:rsidR="007F5B66">
        <w:rPr>
          <w:rFonts w:asciiTheme="majorHAnsi" w:hAnsiTheme="majorHAnsi" w:cstheme="majorHAnsi"/>
          <w:color w:val="1F3864" w:themeColor="accent1" w:themeShade="80"/>
          <w:sz w:val="22"/>
        </w:rPr>
        <w:t>s</w:t>
      </w:r>
      <w:r w:rsidR="006F117A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  <w:r w:rsidR="007F5B66">
        <w:rPr>
          <w:rFonts w:asciiTheme="majorHAnsi" w:hAnsiTheme="majorHAnsi" w:cstheme="majorHAnsi"/>
          <w:color w:val="1F3864" w:themeColor="accent1" w:themeShade="80"/>
          <w:sz w:val="22"/>
        </w:rPr>
        <w:t>se sont</w:t>
      </w:r>
      <w:r w:rsidR="006F117A">
        <w:rPr>
          <w:rFonts w:asciiTheme="majorHAnsi" w:hAnsiTheme="majorHAnsi" w:cstheme="majorHAnsi"/>
          <w:color w:val="1F3864" w:themeColor="accent1" w:themeShade="80"/>
          <w:sz w:val="22"/>
        </w:rPr>
        <w:t xml:space="preserve"> repris</w:t>
      </w:r>
      <w:r w:rsidR="008E3034">
        <w:rPr>
          <w:rFonts w:asciiTheme="majorHAnsi" w:hAnsiTheme="majorHAnsi" w:cstheme="majorHAnsi"/>
          <w:color w:val="1F3864" w:themeColor="accent1" w:themeShade="80"/>
          <w:sz w:val="22"/>
        </w:rPr>
        <w:t xml:space="preserve"> par la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suite.</w:t>
      </w:r>
      <w:r w:rsidR="006F117A">
        <w:rPr>
          <w:rFonts w:asciiTheme="majorHAnsi" w:hAnsiTheme="majorHAnsi" w:cstheme="majorHAnsi"/>
          <w:color w:val="1F3864" w:themeColor="accent1" w:themeShade="80"/>
          <w:sz w:val="22"/>
        </w:rPr>
        <w:t xml:space="preserve"> En effet le discours de </w:t>
      </w:r>
      <w:r w:rsidR="00E06A25">
        <w:rPr>
          <w:rFonts w:asciiTheme="majorHAnsi" w:hAnsiTheme="majorHAnsi" w:cstheme="majorHAnsi"/>
          <w:color w:val="1F3864" w:themeColor="accent1" w:themeShade="80"/>
          <w:sz w:val="22"/>
        </w:rPr>
        <w:t xml:space="preserve">Christine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Lagarde</w:t>
      </w:r>
      <w:r w:rsidR="00E06A25">
        <w:rPr>
          <w:rFonts w:asciiTheme="majorHAnsi" w:hAnsiTheme="majorHAnsi" w:cstheme="majorHAnsi"/>
          <w:color w:val="1F3864" w:themeColor="accent1" w:themeShade="80"/>
          <w:sz w:val="22"/>
        </w:rPr>
        <w:t xml:space="preserve">, qui </w:t>
      </w:r>
      <w:r w:rsidR="00F263EF">
        <w:rPr>
          <w:rFonts w:asciiTheme="majorHAnsi" w:hAnsiTheme="majorHAnsi" w:cstheme="majorHAnsi"/>
          <w:color w:val="1F3864" w:themeColor="accent1" w:themeShade="80"/>
          <w:sz w:val="22"/>
        </w:rPr>
        <w:t xml:space="preserve">se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tournait</w:t>
      </w:r>
      <w:r w:rsidR="00F263EF">
        <w:rPr>
          <w:rFonts w:asciiTheme="majorHAnsi" w:hAnsiTheme="majorHAnsi" w:cstheme="majorHAnsi"/>
          <w:color w:val="1F3864" w:themeColor="accent1" w:themeShade="80"/>
          <w:sz w:val="22"/>
        </w:rPr>
        <w:t xml:space="preserve"> vers un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recalibrage</w:t>
      </w:r>
      <w:r w:rsidR="00F263EF">
        <w:rPr>
          <w:rFonts w:asciiTheme="majorHAnsi" w:hAnsiTheme="majorHAnsi" w:cstheme="majorHAnsi"/>
          <w:color w:val="1F3864" w:themeColor="accent1" w:themeShade="80"/>
          <w:sz w:val="22"/>
        </w:rPr>
        <w:t xml:space="preserve"> plus qu’une baisse</w:t>
      </w:r>
      <w:r w:rsidR="00A30196">
        <w:rPr>
          <w:rFonts w:asciiTheme="majorHAnsi" w:hAnsiTheme="majorHAnsi" w:cstheme="majorHAnsi"/>
          <w:color w:val="1F3864" w:themeColor="accent1" w:themeShade="80"/>
          <w:sz w:val="22"/>
        </w:rPr>
        <w:t xml:space="preserve"> des rachats obligataires</w:t>
      </w:r>
      <w:r w:rsidR="00A42640">
        <w:rPr>
          <w:rFonts w:asciiTheme="majorHAnsi" w:hAnsiTheme="majorHAnsi" w:cstheme="majorHAnsi"/>
          <w:color w:val="1F3864" w:themeColor="accent1" w:themeShade="80"/>
          <w:sz w:val="22"/>
        </w:rPr>
        <w:t>, ont rassuré les marchés à court terme.</w:t>
      </w:r>
    </w:p>
    <w:p w14:paraId="500D9014" w14:textId="7448942C" w:rsidR="008A32F4" w:rsidRDefault="00F263EF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Les mots </w:t>
      </w:r>
      <w:r w:rsidR="00A42640">
        <w:rPr>
          <w:rFonts w:asciiTheme="majorHAnsi" w:hAnsiTheme="majorHAnsi" w:cstheme="majorHAnsi"/>
          <w:color w:val="1F3864" w:themeColor="accent1" w:themeShade="80"/>
          <w:sz w:val="22"/>
        </w:rPr>
        <w:t xml:space="preserve">des banquiers centraux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ont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 leur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importance</w:t>
      </w:r>
      <w:r>
        <w:rPr>
          <w:rFonts w:asciiTheme="majorHAnsi" w:hAnsiTheme="majorHAnsi" w:cstheme="majorHAnsi"/>
          <w:color w:val="1F3864" w:themeColor="accent1" w:themeShade="80"/>
          <w:sz w:val="22"/>
        </w:rPr>
        <w:t xml:space="preserve"> dans chaque discours </w:t>
      </w:r>
      <w:r w:rsidR="003820B2">
        <w:rPr>
          <w:rFonts w:asciiTheme="majorHAnsi" w:hAnsiTheme="majorHAnsi" w:cstheme="majorHAnsi"/>
          <w:color w:val="1F3864" w:themeColor="accent1" w:themeShade="80"/>
          <w:sz w:val="22"/>
        </w:rPr>
        <w:t xml:space="preserve">et </w:t>
      </w:r>
      <w:r w:rsidR="00487E3C">
        <w:rPr>
          <w:rFonts w:asciiTheme="majorHAnsi" w:hAnsiTheme="majorHAnsi" w:cstheme="majorHAnsi"/>
          <w:color w:val="1F3864" w:themeColor="accent1" w:themeShade="80"/>
          <w:sz w:val="22"/>
        </w:rPr>
        <w:t xml:space="preserve">peuvent entrainer </w:t>
      </w:r>
      <w:r w:rsidR="001D380A">
        <w:rPr>
          <w:rFonts w:asciiTheme="majorHAnsi" w:hAnsiTheme="majorHAnsi" w:cstheme="majorHAnsi"/>
          <w:color w:val="1F3864" w:themeColor="accent1" w:themeShade="80"/>
          <w:sz w:val="22"/>
        </w:rPr>
        <w:t>certaines</w:t>
      </w:r>
      <w:r w:rsidR="00487E3C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  <w:r w:rsidR="007D3DBF">
        <w:rPr>
          <w:rFonts w:asciiTheme="majorHAnsi" w:hAnsiTheme="majorHAnsi" w:cstheme="majorHAnsi"/>
          <w:color w:val="1F3864" w:themeColor="accent1" w:themeShade="80"/>
          <w:sz w:val="22"/>
        </w:rPr>
        <w:t>surréactions</w:t>
      </w:r>
      <w:r w:rsidR="00487E3C">
        <w:rPr>
          <w:rFonts w:asciiTheme="majorHAnsi" w:hAnsiTheme="majorHAnsi" w:cstheme="majorHAnsi"/>
          <w:color w:val="1F3864" w:themeColor="accent1" w:themeShade="80"/>
          <w:sz w:val="22"/>
        </w:rPr>
        <w:t xml:space="preserve"> des marchés.</w:t>
      </w:r>
    </w:p>
    <w:p w14:paraId="06FA9504" w14:textId="653C406C" w:rsidR="00A83C4E" w:rsidRDefault="00A83C4E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538067CB" w14:textId="001ABA8E" w:rsidR="00772CE7" w:rsidRDefault="00772CE7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51616DC7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763CED92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46E8BA6D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0F4785A5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0ECB6E92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78EB17DF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07A92636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488B6925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67B59BAF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6EC3E489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2016D90A" w14:textId="77777777" w:rsidR="00566345" w:rsidRDefault="00566345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2109C7C2" w14:textId="77777777" w:rsidR="009263DF" w:rsidRDefault="009263DF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1C738AF7" w14:textId="51B82900" w:rsidR="00772CE7" w:rsidRPr="00CF1710" w:rsidRDefault="0046668C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  <w:u w:val="single"/>
        </w:rPr>
      </w:pPr>
      <w:r w:rsidRPr="00CF1710">
        <w:rPr>
          <w:rFonts w:asciiTheme="majorHAnsi" w:hAnsiTheme="majorHAnsi" w:cstheme="majorHAnsi"/>
          <w:color w:val="1F3864" w:themeColor="accent1" w:themeShade="80"/>
          <w:sz w:val="22"/>
          <w:u w:val="single"/>
        </w:rPr>
        <w:t>Graphique de l’impact</w:t>
      </w:r>
      <w:r w:rsidR="00395C37" w:rsidRPr="00CF1710">
        <w:rPr>
          <w:rFonts w:asciiTheme="majorHAnsi" w:hAnsiTheme="majorHAnsi" w:cstheme="majorHAnsi"/>
          <w:color w:val="1F3864" w:themeColor="accent1" w:themeShade="80"/>
          <w:sz w:val="22"/>
          <w:u w:val="single"/>
        </w:rPr>
        <w:t xml:space="preserve"> des</w:t>
      </w:r>
      <w:r w:rsidRPr="00CF1710">
        <w:rPr>
          <w:rFonts w:asciiTheme="majorHAnsi" w:hAnsiTheme="majorHAnsi" w:cstheme="majorHAnsi"/>
          <w:color w:val="1F3864" w:themeColor="accent1" w:themeShade="80"/>
          <w:sz w:val="22"/>
          <w:u w:val="single"/>
        </w:rPr>
        <w:t xml:space="preserve"> mouvements de</w:t>
      </w:r>
      <w:r w:rsidR="00395C37" w:rsidRPr="00CF1710">
        <w:rPr>
          <w:rFonts w:asciiTheme="majorHAnsi" w:hAnsiTheme="majorHAnsi" w:cstheme="majorHAnsi"/>
          <w:color w:val="1F3864" w:themeColor="accent1" w:themeShade="80"/>
          <w:sz w:val="22"/>
          <w:u w:val="single"/>
        </w:rPr>
        <w:t xml:space="preserve"> taux sur les marchés actions (plus </w:t>
      </w:r>
      <w:r w:rsidR="007D3DBF" w:rsidRPr="00CF1710">
        <w:rPr>
          <w:rFonts w:asciiTheme="majorHAnsi" w:hAnsiTheme="majorHAnsi" w:cstheme="majorHAnsi"/>
          <w:color w:val="1F3864" w:themeColor="accent1" w:themeShade="80"/>
          <w:sz w:val="22"/>
          <w:u w:val="single"/>
        </w:rPr>
        <w:t>les taux réels</w:t>
      </w:r>
      <w:r w:rsidR="00395C37" w:rsidRPr="00CF1710">
        <w:rPr>
          <w:rFonts w:asciiTheme="majorHAnsi" w:hAnsiTheme="majorHAnsi" w:cstheme="majorHAnsi"/>
          <w:color w:val="1F3864" w:themeColor="accent1" w:themeShade="80"/>
          <w:sz w:val="22"/>
          <w:u w:val="single"/>
        </w:rPr>
        <w:t xml:space="preserve"> baissent plus les marchés montent et inversement) </w:t>
      </w:r>
    </w:p>
    <w:p w14:paraId="5A2EDB03" w14:textId="5294D662" w:rsidR="00395C37" w:rsidRDefault="00395C37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32F154B4" w14:textId="61190F2D" w:rsidR="00395C37" w:rsidRDefault="00395C37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>
        <w:rPr>
          <w:noProof/>
        </w:rPr>
        <w:drawing>
          <wp:inline distT="0" distB="0" distL="0" distR="0" wp14:anchorId="19682929" wp14:editId="41B5D258">
            <wp:extent cx="5462794" cy="3474720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0351" cy="347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49612" w14:textId="77777777" w:rsidR="00712A9C" w:rsidRDefault="00712A9C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10628EE8" w14:textId="77777777" w:rsidR="00712A9C" w:rsidRDefault="00712A9C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10974742" w14:textId="77777777" w:rsidR="00487E3C" w:rsidRDefault="00487E3C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0EA84E27" w14:textId="39AE238B" w:rsidR="00A83C4E" w:rsidRPr="00566345" w:rsidRDefault="004442DB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</w:pPr>
      <w:r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2/</w:t>
      </w:r>
      <w:r w:rsidR="00A83C4E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Les </w:t>
      </w:r>
      <w:r w:rsidR="007D3DBF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résultats</w:t>
      </w:r>
      <w:r w:rsidR="00A83C4E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 des sociétés US ont pour la plupart battu le consensus et on</w:t>
      </w:r>
      <w:r w:rsidR="00146E1B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t</w:t>
      </w:r>
      <w:r w:rsidR="00A83C4E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 pour une majorité d’entre elles </w:t>
      </w:r>
      <w:r w:rsidR="007D3DBF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révisé</w:t>
      </w:r>
      <w:r w:rsidR="00A83C4E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 à la hausse leur</w:t>
      </w:r>
      <w:r w:rsidR="000D0D1D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s</w:t>
      </w:r>
      <w:r w:rsidR="00A83C4E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 perspectives</w:t>
      </w:r>
      <w:r w:rsidR="00566345" w:rsidRPr="00566345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, est-ce tenable à court terme ?</w:t>
      </w:r>
    </w:p>
    <w:p w14:paraId="38FEAFEA" w14:textId="77777777" w:rsidR="00F34192" w:rsidRDefault="00F34192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</w:p>
    <w:p w14:paraId="2AF178E3" w14:textId="26161A61" w:rsidR="00A83C4E" w:rsidRPr="00A83C4E" w:rsidRDefault="001A3372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  <w:r w:rsidRPr="00F34192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Les</w:t>
      </w:r>
      <w:r w:rsidR="00A83C4E" w:rsidRPr="00A83C4E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 bénéfices par action agrégés du S&amp;P 500 devraient progresser de 50% par rapport au 1er trimestre 2020. Il s’agit de la plus forte hausse depuis le 1er trimestre 2010.</w:t>
      </w:r>
    </w:p>
    <w:p w14:paraId="0CB76A3E" w14:textId="77777777" w:rsidR="00A83C4E" w:rsidRPr="00A83C4E" w:rsidRDefault="00A83C4E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  <w:r w:rsidRPr="00A83C4E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A noter que ces résultats ont largement dépassé les attentes du consensus, qui tablait sur une progression de 27%. D’ailleurs, 76% des entreprises ont battu les attentes en ce qui concernent les revenus et 86% ont dépassé les prévisions des analystes pour ce qui est des bénéfices. D’après </w:t>
      </w:r>
      <w:proofErr w:type="spellStart"/>
      <w:r w:rsidRPr="00A83C4E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FactSet</w:t>
      </w:r>
      <w:proofErr w:type="spellEnd"/>
      <w:r w:rsidRPr="00A83C4E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, il s’agit du meilleur score depuis 2008.</w:t>
      </w:r>
    </w:p>
    <w:p w14:paraId="737394D4" w14:textId="0D00A9E7" w:rsidR="00A83C4E" w:rsidRPr="00F34192" w:rsidRDefault="00A83C4E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  <w:r w:rsidRPr="00A83C4E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En termes de prévisions pour le 2ème trimestre, 33 sociétés du S&amp;P 500 ont révisé à la baisse leurs prévisions alors que 54 ont révisé à la hausse.</w:t>
      </w:r>
    </w:p>
    <w:p w14:paraId="6D82C2AE" w14:textId="6ECFC397" w:rsidR="004442DB" w:rsidRPr="00813C6A" w:rsidRDefault="004442DB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</w:pPr>
      <w:r w:rsidRPr="00813C6A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La marge de </w:t>
      </w:r>
      <w:r w:rsidR="007D3DBF" w:rsidRPr="00813C6A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manœuvre</w:t>
      </w:r>
      <w:r w:rsidRPr="00813C6A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 pour de bonnes nouvelles supplémentaires est de notre avis faible à court terme.</w:t>
      </w:r>
    </w:p>
    <w:p w14:paraId="19D396F2" w14:textId="65526EF2" w:rsidR="00712A9C" w:rsidRPr="00F34192" w:rsidRDefault="00712A9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1F3864" w:themeColor="accent1" w:themeShade="80"/>
          <w:sz w:val="23"/>
          <w:szCs w:val="23"/>
          <w:lang w:eastAsia="fr-FR"/>
        </w:rPr>
      </w:pPr>
    </w:p>
    <w:p w14:paraId="535FDAB4" w14:textId="77777777" w:rsidR="003215E5" w:rsidRPr="00F34192" w:rsidRDefault="003215E5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1F3864" w:themeColor="accent1" w:themeShade="80"/>
          <w:sz w:val="23"/>
          <w:szCs w:val="23"/>
          <w:lang w:eastAsia="fr-FR"/>
        </w:rPr>
      </w:pPr>
    </w:p>
    <w:p w14:paraId="194E65E0" w14:textId="77777777" w:rsidR="00813C6A" w:rsidRDefault="00813C6A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</w:p>
    <w:p w14:paraId="7706B1C4" w14:textId="77777777" w:rsidR="00813C6A" w:rsidRDefault="00813C6A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</w:p>
    <w:p w14:paraId="33DA0DF3" w14:textId="77777777" w:rsidR="00813C6A" w:rsidRDefault="00813C6A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</w:p>
    <w:p w14:paraId="26771A20" w14:textId="2BD7E990" w:rsidR="00712A9C" w:rsidRPr="000B6C11" w:rsidRDefault="00427B73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u w:val="single"/>
          <w:lang w:eastAsia="fr-FR"/>
        </w:rPr>
      </w:pPr>
      <w:r w:rsidRPr="000B6C11">
        <w:rPr>
          <w:rFonts w:asciiTheme="majorHAnsi" w:eastAsia="Times New Roman" w:hAnsiTheme="majorHAnsi" w:cstheme="majorHAnsi"/>
          <w:color w:val="1F3864" w:themeColor="accent1" w:themeShade="80"/>
          <w:u w:val="single"/>
          <w:lang w:eastAsia="fr-FR"/>
        </w:rPr>
        <w:t xml:space="preserve">Un niveau de marge jamais observé depuis 2013 et nous pensons que cela risque d’être </w:t>
      </w:r>
      <w:r w:rsidR="00EC556D" w:rsidRPr="000B6C11">
        <w:rPr>
          <w:rFonts w:asciiTheme="majorHAnsi" w:eastAsia="Times New Roman" w:hAnsiTheme="majorHAnsi" w:cstheme="majorHAnsi"/>
          <w:color w:val="1F3864" w:themeColor="accent1" w:themeShade="80"/>
          <w:u w:val="single"/>
          <w:lang w:eastAsia="fr-FR"/>
        </w:rPr>
        <w:t xml:space="preserve">difficilement </w:t>
      </w:r>
      <w:r w:rsidR="007D3DBF" w:rsidRPr="000B6C11">
        <w:rPr>
          <w:rFonts w:asciiTheme="majorHAnsi" w:eastAsia="Times New Roman" w:hAnsiTheme="majorHAnsi" w:cstheme="majorHAnsi"/>
          <w:color w:val="1F3864" w:themeColor="accent1" w:themeShade="80"/>
          <w:u w:val="single"/>
          <w:lang w:eastAsia="fr-FR"/>
        </w:rPr>
        <w:t>tenable sur</w:t>
      </w:r>
      <w:r w:rsidRPr="000B6C11">
        <w:rPr>
          <w:rFonts w:asciiTheme="majorHAnsi" w:eastAsia="Times New Roman" w:hAnsiTheme="majorHAnsi" w:cstheme="majorHAnsi"/>
          <w:color w:val="1F3864" w:themeColor="accent1" w:themeShade="80"/>
          <w:u w:val="single"/>
          <w:lang w:eastAsia="fr-FR"/>
        </w:rPr>
        <w:t xml:space="preserve"> le</w:t>
      </w:r>
      <w:r w:rsidR="00813C6A" w:rsidRPr="000B6C11">
        <w:rPr>
          <w:rFonts w:asciiTheme="majorHAnsi" w:eastAsia="Times New Roman" w:hAnsiTheme="majorHAnsi" w:cstheme="majorHAnsi"/>
          <w:color w:val="1F3864" w:themeColor="accent1" w:themeShade="80"/>
          <w:u w:val="single"/>
          <w:lang w:eastAsia="fr-FR"/>
        </w:rPr>
        <w:t xml:space="preserve"> court</w:t>
      </w:r>
      <w:r w:rsidRPr="000B6C11">
        <w:rPr>
          <w:rFonts w:asciiTheme="majorHAnsi" w:eastAsia="Times New Roman" w:hAnsiTheme="majorHAnsi" w:cstheme="majorHAnsi"/>
          <w:color w:val="1F3864" w:themeColor="accent1" w:themeShade="80"/>
          <w:u w:val="single"/>
          <w:lang w:eastAsia="fr-FR"/>
        </w:rPr>
        <w:t xml:space="preserve"> terme</w:t>
      </w:r>
    </w:p>
    <w:p w14:paraId="6453A437" w14:textId="77CFB0E9" w:rsidR="00427B73" w:rsidRDefault="00427B73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75C2E02A" w14:textId="15A9346B" w:rsidR="00427B73" w:rsidRDefault="00427B73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  <w:r>
        <w:rPr>
          <w:noProof/>
        </w:rPr>
        <w:drawing>
          <wp:inline distT="0" distB="0" distL="0" distR="0" wp14:anchorId="174CA0CD" wp14:editId="4FD1E1E5">
            <wp:extent cx="5059680" cy="3850532"/>
            <wp:effectExtent l="0" t="0" r="762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7678" cy="38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31FA" w14:textId="6421071B" w:rsidR="00BA5E9C" w:rsidRDefault="00BA5E9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79DB082E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3B51AABA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363AF11F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6FA27CD0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28F9490D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4EBA7ADF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5EAF16EA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1DBF963B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5C561C8E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00D03C52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4D3BFF19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1984231F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38F6E1FE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69C6C39E" w14:textId="77777777" w:rsidR="00FD1FEF" w:rsidRDefault="00FD1FEF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333333"/>
          <w:lang w:eastAsia="fr-FR"/>
        </w:rPr>
      </w:pPr>
    </w:p>
    <w:p w14:paraId="621A74FE" w14:textId="512BA4BB" w:rsidR="00BA5E9C" w:rsidRPr="000B6C11" w:rsidRDefault="009E01FC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</w:pPr>
      <w:r w:rsidRPr="000B6C11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3/ </w:t>
      </w:r>
      <w:r w:rsidR="00BA5E9C" w:rsidRPr="000B6C11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La situation sanitaire en </w:t>
      </w:r>
      <w:r w:rsidR="007D3DBF" w:rsidRPr="000B6C11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>Asie</w:t>
      </w:r>
      <w:r w:rsidR="00BA5E9C" w:rsidRPr="000B6C11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 </w:t>
      </w:r>
      <w:r w:rsidRPr="000B6C11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>(Chine exclut)</w:t>
      </w:r>
      <w:r w:rsidR="002B2D60" w:rsidRPr="000B6C11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 et risque du variant delta</w:t>
      </w:r>
    </w:p>
    <w:p w14:paraId="1EFEBB20" w14:textId="49F3C876" w:rsidR="00A528DE" w:rsidRPr="000B6C11" w:rsidRDefault="00A528DE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  <w:r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Les pays </w:t>
      </w:r>
      <w:r w:rsidR="001648BC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d’Asie</w:t>
      </w:r>
      <w:r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 hors Chine </w:t>
      </w:r>
      <w:r w:rsidR="00524F90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ont un retard sur la vaccination, ce qui pourrait retarder </w:t>
      </w:r>
      <w:r w:rsidR="003E265C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le retour à la vie normale dans ce</w:t>
      </w:r>
      <w:r w:rsidR="002B2D60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rtains</w:t>
      </w:r>
      <w:r w:rsidR="003E265C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 pays</w:t>
      </w:r>
      <w:r w:rsidR="002B2D60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 </w:t>
      </w:r>
      <w:r w:rsidR="008234A3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d’Asie</w:t>
      </w:r>
      <w:r w:rsidR="003E265C" w:rsidRPr="000B6C11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.</w:t>
      </w:r>
    </w:p>
    <w:p w14:paraId="077D8FD4" w14:textId="770363EC" w:rsidR="009E01FC" w:rsidRDefault="009E01F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581D3F82" w14:textId="541C8CD4" w:rsidR="009E01FC" w:rsidRDefault="009E01F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  <w:r>
        <w:rPr>
          <w:noProof/>
        </w:rPr>
        <w:drawing>
          <wp:inline distT="0" distB="0" distL="0" distR="0" wp14:anchorId="7F3F726E" wp14:editId="7322AAB5">
            <wp:extent cx="4594860" cy="377333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2175" cy="37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EAE0" w14:textId="01C944CC" w:rsidR="004442DB" w:rsidRDefault="004442DB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2161044D" w14:textId="21EECEAD" w:rsidR="00CD3463" w:rsidRDefault="00CD3463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617B7F03" w14:textId="01463F1F" w:rsidR="00CD3463" w:rsidRPr="0012101B" w:rsidRDefault="00CD3463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b/>
          <w:bCs/>
          <w:color w:val="333333"/>
          <w:sz w:val="23"/>
          <w:szCs w:val="23"/>
          <w:lang w:eastAsia="fr-FR"/>
        </w:rPr>
      </w:pPr>
      <w:r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Au-delà </w:t>
      </w:r>
      <w:r w:rsidR="009B6AF8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de notre conclusion, qui </w:t>
      </w:r>
      <w:r w:rsidR="00E55525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nous </w:t>
      </w:r>
      <w:r w:rsidR="00D9771A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amène</w:t>
      </w:r>
      <w:r w:rsidR="00E55525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 à penser à une prise de </w:t>
      </w:r>
      <w:r w:rsidR="00D9771A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bénéfice</w:t>
      </w:r>
      <w:r w:rsidR="00E55525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 sur les marchés</w:t>
      </w:r>
      <w:r w:rsidR="00D9771A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 et </w:t>
      </w:r>
      <w:r w:rsidR="00E55525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à </w:t>
      </w:r>
      <w:r w:rsidR="00D9771A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privilégier</w:t>
      </w:r>
      <w:r w:rsidR="00E55525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 une stratégie de stock picking via nos fonds </w:t>
      </w:r>
      <w:r w:rsidR="00E10D11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structurels dans nos allocations d’actifs, nous pensons qu’il est intéressant de s’</w:t>
      </w:r>
      <w:r w:rsidR="00D9771A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intéresser</w:t>
      </w:r>
      <w:r w:rsidR="00E10D11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 xml:space="preserve"> aux deux classes d’actifs suivant</w:t>
      </w:r>
      <w:r w:rsidR="00AE560D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e</w:t>
      </w:r>
      <w:r w:rsidR="00E10D11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lang w:eastAsia="fr-FR"/>
        </w:rPr>
        <w:t>s</w:t>
      </w:r>
      <w:r w:rsidR="00E10D11" w:rsidRPr="0012101B">
        <w:rPr>
          <w:rFonts w:ascii="Open Sans" w:eastAsia="Times New Roman" w:hAnsi="Open Sans" w:cs="Open Sans"/>
          <w:b/>
          <w:bCs/>
          <w:color w:val="1F3864" w:themeColor="accent1" w:themeShade="80"/>
          <w:sz w:val="23"/>
          <w:szCs w:val="23"/>
          <w:lang w:eastAsia="fr-FR"/>
        </w:rPr>
        <w:t> </w:t>
      </w:r>
      <w:r w:rsidR="00E10D11" w:rsidRPr="0012101B">
        <w:rPr>
          <w:rFonts w:ascii="Open Sans" w:eastAsia="Times New Roman" w:hAnsi="Open Sans" w:cs="Open Sans"/>
          <w:b/>
          <w:bCs/>
          <w:color w:val="333333"/>
          <w:sz w:val="23"/>
          <w:szCs w:val="23"/>
          <w:lang w:eastAsia="fr-FR"/>
        </w:rPr>
        <w:t>:</w:t>
      </w:r>
    </w:p>
    <w:p w14:paraId="24A8B82C" w14:textId="77AE452D" w:rsidR="004442DB" w:rsidRPr="00D615A1" w:rsidRDefault="004442DB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333333"/>
          <w:lang w:eastAsia="fr-FR"/>
        </w:rPr>
      </w:pPr>
    </w:p>
    <w:p w14:paraId="12376FBB" w14:textId="77777777" w:rsidR="0012101B" w:rsidRDefault="0012101B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</w:pPr>
    </w:p>
    <w:p w14:paraId="11A2D521" w14:textId="77777777" w:rsidR="0012101B" w:rsidRDefault="0012101B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</w:pPr>
    </w:p>
    <w:p w14:paraId="090061D7" w14:textId="77777777" w:rsidR="0012101B" w:rsidRDefault="0012101B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</w:pPr>
    </w:p>
    <w:p w14:paraId="73A0BD57" w14:textId="41396D5E" w:rsidR="004442DB" w:rsidRPr="0012101B" w:rsidRDefault="004442DB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</w:pPr>
      <w:r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Ce que nous </w:t>
      </w:r>
      <w:r w:rsidR="007D3DBF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>privilégions</w:t>
      </w:r>
      <w:r w:rsidR="00B607B8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 à </w:t>
      </w:r>
      <w:r w:rsidR="00F12405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moyen terme </w:t>
      </w:r>
      <w:proofErr w:type="spellStart"/>
      <w:r w:rsidR="00B607B8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>terme</w:t>
      </w:r>
      <w:proofErr w:type="spellEnd"/>
    </w:p>
    <w:p w14:paraId="5BB2FFA5" w14:textId="77777777" w:rsidR="0012101B" w:rsidRDefault="0012101B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</w:pPr>
    </w:p>
    <w:p w14:paraId="65181C0C" w14:textId="6EB61E3D" w:rsidR="00B607B8" w:rsidRPr="0012101B" w:rsidRDefault="002647A9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</w:pPr>
      <w:r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1/ </w:t>
      </w:r>
      <w:r w:rsidR="00B607B8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>L</w:t>
      </w:r>
      <w:r w:rsidR="008C6619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 xml:space="preserve">e marché </w:t>
      </w:r>
      <w:r w:rsidR="007D3DBF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>actions chinois</w:t>
      </w:r>
      <w:r w:rsidR="008C6619" w:rsidRPr="0012101B">
        <w:rPr>
          <w:rFonts w:asciiTheme="majorHAnsi" w:eastAsia="Times New Roman" w:hAnsiTheme="majorHAnsi" w:cstheme="majorHAnsi"/>
          <w:b/>
          <w:bCs/>
          <w:color w:val="1F3864" w:themeColor="accent1" w:themeShade="80"/>
          <w:u w:val="single"/>
          <w:lang w:eastAsia="fr-FR"/>
        </w:rPr>
        <w:t>.</w:t>
      </w:r>
    </w:p>
    <w:p w14:paraId="2E585044" w14:textId="3A77806A" w:rsidR="008C6619" w:rsidRPr="0012101B" w:rsidRDefault="008C6619" w:rsidP="00A83C4E">
      <w:pPr>
        <w:shd w:val="clear" w:color="auto" w:fill="FFFFFF"/>
        <w:spacing w:after="180" w:line="240" w:lineRule="auto"/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</w:pPr>
      <w:r w:rsidRPr="0012101B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En effet, celui-ci a largement sous </w:t>
      </w:r>
      <w:proofErr w:type="gramStart"/>
      <w:r w:rsidR="007D3DBF" w:rsidRPr="0012101B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perform</w:t>
      </w:r>
      <w:r w:rsidR="00814A63" w:rsidRPr="0012101B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é</w:t>
      </w:r>
      <w:proofErr w:type="gramEnd"/>
      <w:r w:rsidRPr="0012101B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 les indices US ou europée</w:t>
      </w:r>
      <w:r w:rsidR="00FF6AD1" w:rsidRPr="0012101B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n</w:t>
      </w:r>
      <w:r w:rsidRPr="0012101B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>s (voir les graphes ci-dessous).</w:t>
      </w:r>
    </w:p>
    <w:p w14:paraId="417282A0" w14:textId="21EBFFE9" w:rsidR="00B607B8" w:rsidRPr="0012101B" w:rsidRDefault="00FF6AD1" w:rsidP="00A83C4E">
      <w:pPr>
        <w:shd w:val="clear" w:color="auto" w:fill="FFFFFF"/>
        <w:spacing w:after="180" w:line="240" w:lineRule="auto"/>
        <w:rPr>
          <w:rStyle w:val="Accentuation"/>
          <w:rFonts w:asciiTheme="majorHAnsi" w:eastAsia="Times New Roman" w:hAnsiTheme="majorHAnsi" w:cstheme="majorHAnsi"/>
          <w:i w:val="0"/>
          <w:iCs w:val="0"/>
          <w:color w:val="1F3864" w:themeColor="accent1" w:themeShade="80"/>
          <w:lang w:eastAsia="fr-FR"/>
        </w:rPr>
      </w:pPr>
      <w:r w:rsidRPr="0012101B">
        <w:rPr>
          <w:rFonts w:asciiTheme="majorHAnsi" w:eastAsia="Times New Roman" w:hAnsiTheme="majorHAnsi" w:cstheme="majorHAnsi"/>
          <w:color w:val="1F3864" w:themeColor="accent1" w:themeShade="80"/>
          <w:lang w:eastAsia="fr-FR"/>
        </w:rPr>
        <w:t xml:space="preserve">La raison principale est que </w:t>
      </w:r>
      <w:r w:rsidR="00814A63"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>l</w:t>
      </w:r>
      <w:r w:rsidR="008658E4"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 xml:space="preserve">e gouvernement chinois </w:t>
      </w:r>
      <w:r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>a mis</w:t>
      </w:r>
      <w:r w:rsidR="008658E4"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 xml:space="preserve"> une pression réglementaire sur le secteur technologique afin de limiter les monopoles</w:t>
      </w:r>
      <w:r w:rsidR="00727EA5"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 xml:space="preserve">, cela a eu un impact </w:t>
      </w:r>
      <w:r w:rsidR="007D3DBF"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>négatif</w:t>
      </w:r>
      <w:r w:rsidR="00727EA5"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 xml:space="preserve"> à court terme sur les marchés </w:t>
      </w:r>
      <w:r w:rsidR="007D3DBF"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>actions.</w:t>
      </w:r>
    </w:p>
    <w:p w14:paraId="604A537D" w14:textId="77777777" w:rsidR="006A10B9" w:rsidRPr="0012101B" w:rsidRDefault="00727EA5" w:rsidP="00A83C4E">
      <w:pPr>
        <w:shd w:val="clear" w:color="auto" w:fill="FFFFFF"/>
        <w:spacing w:after="180" w:line="240" w:lineRule="auto"/>
        <w:rPr>
          <w:rFonts w:asciiTheme="majorHAnsi" w:hAnsiTheme="majorHAnsi" w:cstheme="majorHAnsi"/>
          <w:i/>
          <w:iCs/>
          <w:color w:val="1F3864" w:themeColor="accent1" w:themeShade="80"/>
          <w:shd w:val="clear" w:color="auto" w:fill="FFFFFF"/>
        </w:rPr>
      </w:pPr>
      <w:r w:rsidRPr="0012101B">
        <w:rPr>
          <w:rStyle w:val="Accentuation"/>
          <w:rFonts w:asciiTheme="majorHAnsi" w:hAnsiTheme="majorHAnsi" w:cstheme="majorHAnsi"/>
          <w:i w:val="0"/>
          <w:iCs w:val="0"/>
          <w:color w:val="1F3864" w:themeColor="accent1" w:themeShade="80"/>
          <w:shd w:val="clear" w:color="auto" w:fill="FFFFFF"/>
        </w:rPr>
        <w:t>Cependant nous pensons que</w:t>
      </w:r>
      <w:r w:rsidR="008F6725" w:rsidRPr="0012101B">
        <w:rPr>
          <w:rFonts w:asciiTheme="majorHAnsi" w:hAnsiTheme="majorHAnsi" w:cstheme="majorHAnsi"/>
          <w:i/>
          <w:iCs/>
          <w:color w:val="1F3864" w:themeColor="accent1" w:themeShade="80"/>
          <w:shd w:val="clear" w:color="auto" w:fill="FFFFFF"/>
        </w:rPr>
        <w:t xml:space="preserve"> </w:t>
      </w:r>
      <w:r w:rsidR="008F6725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>la reprise en main du secteur privé par Pékin arrive à son terme.</w:t>
      </w:r>
    </w:p>
    <w:p w14:paraId="66E4EABE" w14:textId="5E8738D4" w:rsidR="00727EA5" w:rsidRPr="0012101B" w:rsidRDefault="007D3DBF" w:rsidP="00A83C4E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1F3864" w:themeColor="accent1" w:themeShade="80"/>
          <w:shd w:val="clear" w:color="auto" w:fill="FFFFFF"/>
        </w:rPr>
      </w:pPr>
      <w:r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>Cela</w:t>
      </w:r>
      <w:r w:rsidR="008F6725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 xml:space="preserve"> a </w:t>
      </w:r>
      <w:r w:rsidR="006A10B9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>permis selon nous d’</w:t>
      </w:r>
      <w:r w:rsidR="008F6725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>assaini</w:t>
      </w:r>
      <w:r w:rsidR="006A10B9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>r</w:t>
      </w:r>
      <w:r w:rsidR="008F6725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 xml:space="preserve"> le marché et </w:t>
      </w:r>
      <w:r w:rsidR="00343990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 xml:space="preserve">de revenir sur des niveaux de valorisations </w:t>
      </w:r>
      <w:r w:rsidR="00CE5FF5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>intéressantes</w:t>
      </w:r>
      <w:r w:rsidR="00EC7CAF" w:rsidRPr="0012101B">
        <w:rPr>
          <w:rFonts w:asciiTheme="majorHAnsi" w:hAnsiTheme="majorHAnsi" w:cstheme="majorHAnsi"/>
          <w:color w:val="1F3864" w:themeColor="accent1" w:themeShade="80"/>
          <w:shd w:val="clear" w:color="auto" w:fill="FFFFFF"/>
        </w:rPr>
        <w:t>.</w:t>
      </w:r>
    </w:p>
    <w:p w14:paraId="37BCD07E" w14:textId="619734FB" w:rsidR="006A10B9" w:rsidRPr="00D615A1" w:rsidRDefault="006A10B9" w:rsidP="00A83C4E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383F4E"/>
          <w:shd w:val="clear" w:color="auto" w:fill="FFFFFF"/>
        </w:rPr>
      </w:pPr>
    </w:p>
    <w:p w14:paraId="49BD98B3" w14:textId="77777777" w:rsidR="00CE5FF5" w:rsidRDefault="00CE5FF5" w:rsidP="00805914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383F4E"/>
          <w:shd w:val="clear" w:color="auto" w:fill="FFFFFF"/>
        </w:rPr>
      </w:pPr>
    </w:p>
    <w:p w14:paraId="7B985D54" w14:textId="4DC63113" w:rsidR="006921D4" w:rsidRPr="0012101B" w:rsidRDefault="00CE7950" w:rsidP="00805914">
      <w:pPr>
        <w:shd w:val="clear" w:color="auto" w:fill="FFFFFF"/>
        <w:spacing w:after="180" w:line="240" w:lineRule="auto"/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</w:pPr>
      <w:r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Nous pensons que l</w:t>
      </w:r>
      <w:r w:rsidR="00A77CF0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es actions d’entreprise</w:t>
      </w:r>
      <w:r w:rsidR="00F12405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s</w:t>
      </w:r>
      <w:r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chin</w:t>
      </w:r>
      <w:r w:rsidR="00A77CF0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oise</w:t>
      </w:r>
      <w:r w:rsidR="00F12405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s</w:t>
      </w:r>
      <w:r w:rsidR="00E22C95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(la Chine</w:t>
      </w:r>
      <w:r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deviendra la plus grande puissance économique dans quelques années</w:t>
      </w:r>
      <w:r w:rsidR="00E22C95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, </w:t>
      </w:r>
      <w:r w:rsidR="00957D1B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en montant de PIB</w:t>
      </w:r>
      <w:r w:rsidR="00E22C95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, </w:t>
      </w:r>
      <w:r w:rsidR="00957D1B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actuellement deuxième </w:t>
      </w:r>
      <w:r w:rsidR="007D3DBF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derrière</w:t>
      </w:r>
      <w:r w:rsidR="00957D1B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les Etats Unis</w:t>
      </w:r>
      <w:proofErr w:type="gramStart"/>
      <w:r w:rsidR="00E22C95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) ,</w:t>
      </w:r>
      <w:proofErr w:type="gramEnd"/>
      <w:r w:rsidR="00E22C95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bénéficient </w:t>
      </w:r>
      <w:r w:rsidR="00572EB4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aujourd’hui</w:t>
      </w:r>
      <w:r w:rsidR="0083603D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</w:t>
      </w:r>
      <w:r w:rsidR="00572EB4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de</w:t>
      </w:r>
      <w:r w:rsidR="0083603D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valorisations attrayantes sur le </w:t>
      </w:r>
      <w:r w:rsidR="001A1CDC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moyen-</w:t>
      </w:r>
      <w:r w:rsidR="0083603D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long terme. </w:t>
      </w:r>
      <w:r w:rsidR="00805914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La</w:t>
      </w:r>
      <w:r w:rsidR="007D3DBF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</w:t>
      </w:r>
      <w:r w:rsidR="00805914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pop</w:t>
      </w:r>
      <w:r w:rsidR="007D3DBF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u</w:t>
      </w:r>
      <w:r w:rsidR="00805914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lation chinoise </w:t>
      </w:r>
      <w:r w:rsidR="006921D4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représente plus de</w:t>
      </w:r>
      <w:r w:rsidR="000052BD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 18 </w:t>
      </w:r>
      <w:r w:rsidR="006921D4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 xml:space="preserve">% de la population </w:t>
      </w:r>
      <w:r w:rsidR="007D3DBF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mondiale</w:t>
      </w:r>
      <w:r w:rsidR="00F01793" w:rsidRPr="0012101B">
        <w:rPr>
          <w:rFonts w:asciiTheme="majorHAnsi" w:hAnsiTheme="majorHAnsi" w:cstheme="majorHAnsi"/>
          <w:b/>
          <w:bCs/>
          <w:color w:val="1F3864" w:themeColor="accent1" w:themeShade="80"/>
          <w:shd w:val="clear" w:color="auto" w:fill="FFFFFF"/>
        </w:rPr>
        <w:t>.</w:t>
      </w:r>
    </w:p>
    <w:p w14:paraId="5C8521EE" w14:textId="2BE0D633" w:rsidR="00572EB4" w:rsidRDefault="00572EB4" w:rsidP="00805914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383F4E"/>
          <w:shd w:val="clear" w:color="auto" w:fill="FFFFFF"/>
        </w:rPr>
      </w:pPr>
    </w:p>
    <w:p w14:paraId="6B861C38" w14:textId="2868F385" w:rsidR="008C03A2" w:rsidRPr="00626EDF" w:rsidRDefault="008C03A2" w:rsidP="00805914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</w:pPr>
      <w:r w:rsidRPr="00626EDF"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  <w:t>Graphique de l’évolution de l’indice chinois des actions</w:t>
      </w:r>
    </w:p>
    <w:p w14:paraId="3EC95AE6" w14:textId="77777777" w:rsidR="00572EB4" w:rsidRPr="00D615A1" w:rsidRDefault="00572EB4" w:rsidP="00805914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383F4E"/>
          <w:shd w:val="clear" w:color="auto" w:fill="FFFFFF"/>
        </w:rPr>
      </w:pPr>
    </w:p>
    <w:p w14:paraId="52919561" w14:textId="20D6594A" w:rsidR="00EC7CAF" w:rsidRDefault="00E10ADD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  <w:r>
        <w:rPr>
          <w:noProof/>
        </w:rPr>
        <w:drawing>
          <wp:inline distT="0" distB="0" distL="0" distR="0" wp14:anchorId="3FA992C2" wp14:editId="482AC553">
            <wp:extent cx="4705225" cy="2819400"/>
            <wp:effectExtent l="0" t="0" r="63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3566" cy="282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214E" w14:textId="1D9A438C" w:rsidR="0056012C" w:rsidRDefault="0056012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2CAE4863" w14:textId="77777777" w:rsidR="008C03A2" w:rsidRDefault="008C03A2" w:rsidP="008C03A2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383F4E"/>
          <w:u w:val="single"/>
          <w:shd w:val="clear" w:color="auto" w:fill="FFFFFF"/>
        </w:rPr>
      </w:pPr>
    </w:p>
    <w:p w14:paraId="06867EC8" w14:textId="77777777" w:rsidR="008C03A2" w:rsidRDefault="008C03A2" w:rsidP="008C03A2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383F4E"/>
          <w:u w:val="single"/>
          <w:shd w:val="clear" w:color="auto" w:fill="FFFFFF"/>
        </w:rPr>
      </w:pPr>
    </w:p>
    <w:p w14:paraId="14EAA3FA" w14:textId="4D3F37DA" w:rsidR="008C03A2" w:rsidRPr="00626EDF" w:rsidRDefault="008C03A2" w:rsidP="008C03A2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</w:pPr>
      <w:r w:rsidRPr="00626EDF"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  <w:t>Graphique de l’évolution de l’indice américain des actions</w:t>
      </w:r>
      <w:r w:rsidR="009263DF" w:rsidRPr="00626EDF"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  <w:t xml:space="preserve"> (S&amp;P)</w:t>
      </w:r>
    </w:p>
    <w:p w14:paraId="421E0676" w14:textId="77777777" w:rsidR="008C03A2" w:rsidRDefault="008C03A2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67ECAE94" w14:textId="31816B63" w:rsidR="0056012C" w:rsidRDefault="0056012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  <w:r>
        <w:rPr>
          <w:noProof/>
        </w:rPr>
        <w:drawing>
          <wp:inline distT="0" distB="0" distL="0" distR="0" wp14:anchorId="6B273800" wp14:editId="13BEBE20">
            <wp:extent cx="4525256" cy="3032760"/>
            <wp:effectExtent l="0" t="0" r="889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4316" cy="303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8656" w14:textId="4E8B751F" w:rsidR="00786298" w:rsidRDefault="00786298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07EB1F95" w14:textId="77777777" w:rsidR="008E1222" w:rsidRDefault="008E1222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5F447F1F" w14:textId="7F8E7A5F" w:rsidR="008C03A2" w:rsidRPr="00626EDF" w:rsidRDefault="008C03A2" w:rsidP="008C03A2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</w:pPr>
      <w:r w:rsidRPr="00626EDF"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  <w:t>Graphique de l’évolution de l’indice européen des actions</w:t>
      </w:r>
      <w:r w:rsidR="001A1CDC"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  <w:t xml:space="preserve"> (</w:t>
      </w:r>
      <w:proofErr w:type="spellStart"/>
      <w:r w:rsidR="001A1CDC"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  <w:t>Eurostoxx</w:t>
      </w:r>
      <w:proofErr w:type="spellEnd"/>
      <w:r w:rsidR="001A1CDC">
        <w:rPr>
          <w:rFonts w:asciiTheme="majorHAnsi" w:hAnsiTheme="majorHAnsi" w:cstheme="majorHAnsi"/>
          <w:color w:val="1F3864" w:themeColor="accent1" w:themeShade="80"/>
          <w:u w:val="single"/>
          <w:shd w:val="clear" w:color="auto" w:fill="FFFFFF"/>
        </w:rPr>
        <w:t xml:space="preserve"> 50)</w:t>
      </w:r>
    </w:p>
    <w:p w14:paraId="4618F76F" w14:textId="77777777" w:rsidR="008E1222" w:rsidRDefault="008E1222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571904F8" w14:textId="657A3B39" w:rsidR="00786298" w:rsidRDefault="001A1CD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  <w:r>
        <w:rPr>
          <w:noProof/>
        </w:rPr>
        <w:t xml:space="preserve"> </w:t>
      </w:r>
      <w:r w:rsidR="00786298">
        <w:rPr>
          <w:noProof/>
        </w:rPr>
        <w:drawing>
          <wp:inline distT="0" distB="0" distL="0" distR="0" wp14:anchorId="00458CCA" wp14:editId="7215D3D2">
            <wp:extent cx="4432399" cy="2415540"/>
            <wp:effectExtent l="0" t="0" r="635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0029" cy="24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2BD4" w14:textId="158DBEC9" w:rsidR="004442DB" w:rsidRDefault="004442DB" w:rsidP="00A83C4E">
      <w:pPr>
        <w:shd w:val="clear" w:color="auto" w:fill="FFFFFF"/>
        <w:spacing w:after="180" w:line="240" w:lineRule="auto"/>
        <w:rPr>
          <w:noProof/>
        </w:rPr>
      </w:pPr>
    </w:p>
    <w:p w14:paraId="79DCF2A4" w14:textId="2459E4B8" w:rsidR="008E1222" w:rsidRDefault="008E1222" w:rsidP="00A83C4E">
      <w:pPr>
        <w:shd w:val="clear" w:color="auto" w:fill="FFFFFF"/>
        <w:spacing w:after="180" w:line="240" w:lineRule="auto"/>
        <w:rPr>
          <w:noProof/>
        </w:rPr>
      </w:pPr>
    </w:p>
    <w:p w14:paraId="610FCD67" w14:textId="77777777" w:rsidR="008C03A2" w:rsidRDefault="008C03A2" w:rsidP="00A83C4E">
      <w:pPr>
        <w:shd w:val="clear" w:color="auto" w:fill="FFFFFF"/>
        <w:spacing w:after="180" w:line="240" w:lineRule="auto"/>
        <w:rPr>
          <w:rFonts w:asciiTheme="majorHAnsi" w:hAnsiTheme="majorHAnsi" w:cstheme="majorHAnsi"/>
        </w:rPr>
      </w:pPr>
    </w:p>
    <w:p w14:paraId="7C5B53F8" w14:textId="77777777" w:rsidR="008C03A2" w:rsidRDefault="008C03A2" w:rsidP="00A83C4E">
      <w:pPr>
        <w:shd w:val="clear" w:color="auto" w:fill="FFFFFF"/>
        <w:spacing w:after="180" w:line="240" w:lineRule="auto"/>
        <w:rPr>
          <w:rFonts w:asciiTheme="majorHAnsi" w:hAnsiTheme="majorHAnsi" w:cstheme="majorHAnsi"/>
        </w:rPr>
      </w:pPr>
    </w:p>
    <w:p w14:paraId="27A82D0E" w14:textId="6FCBE73B" w:rsidR="008E1222" w:rsidRPr="00626EDF" w:rsidRDefault="008E1222" w:rsidP="00A83C4E">
      <w:pPr>
        <w:shd w:val="clear" w:color="auto" w:fill="FFFFFF"/>
        <w:spacing w:after="180" w:line="240" w:lineRule="auto"/>
        <w:rPr>
          <w:rFonts w:asciiTheme="majorHAnsi" w:hAnsiTheme="majorHAnsi" w:cstheme="majorHAnsi"/>
          <w:color w:val="1F3864" w:themeColor="accent1" w:themeShade="80"/>
          <w:u w:val="single"/>
        </w:rPr>
      </w:pPr>
      <w:r w:rsidRPr="00626EDF">
        <w:rPr>
          <w:rFonts w:asciiTheme="majorHAnsi" w:hAnsiTheme="majorHAnsi" w:cstheme="majorHAnsi"/>
          <w:color w:val="1F3864" w:themeColor="accent1" w:themeShade="80"/>
          <w:u w:val="single"/>
        </w:rPr>
        <w:t>Performance des classes d’actifs depuis le début de l’anné</w:t>
      </w:r>
      <w:r w:rsidR="00EE3C79">
        <w:rPr>
          <w:rFonts w:asciiTheme="majorHAnsi" w:hAnsiTheme="majorHAnsi" w:cstheme="majorHAnsi"/>
          <w:color w:val="1F3864" w:themeColor="accent1" w:themeShade="80"/>
          <w:u w:val="single"/>
        </w:rPr>
        <w:t>e.</w:t>
      </w:r>
      <w:r w:rsidRPr="00626EDF">
        <w:rPr>
          <w:rFonts w:asciiTheme="majorHAnsi" w:hAnsiTheme="majorHAnsi" w:cstheme="majorHAnsi"/>
          <w:color w:val="1F3864" w:themeColor="accent1" w:themeShade="80"/>
          <w:u w:val="single"/>
        </w:rPr>
        <w:t xml:space="preserve"> Les actifs risqués ont largement bénéficié de la reprise</w:t>
      </w:r>
      <w:r w:rsidR="00EE3C79">
        <w:rPr>
          <w:rFonts w:asciiTheme="majorHAnsi" w:hAnsiTheme="majorHAnsi" w:cstheme="majorHAnsi"/>
          <w:color w:val="1F3864" w:themeColor="accent1" w:themeShade="80"/>
          <w:u w:val="single"/>
        </w:rPr>
        <w:t xml:space="preserve"> à l’exception de la Chine</w:t>
      </w:r>
      <w:r w:rsidR="00626EDF">
        <w:rPr>
          <w:rFonts w:asciiTheme="majorHAnsi" w:hAnsiTheme="majorHAnsi" w:cstheme="majorHAnsi"/>
          <w:color w:val="1F3864" w:themeColor="accent1" w:themeShade="80"/>
          <w:u w:val="single"/>
        </w:rPr>
        <w:t>.</w:t>
      </w:r>
    </w:p>
    <w:p w14:paraId="02F6EEB3" w14:textId="562FF96E" w:rsidR="00E96DEC" w:rsidRDefault="00E96DEC" w:rsidP="00A83C4E">
      <w:pPr>
        <w:shd w:val="clear" w:color="auto" w:fill="FFFFFF"/>
        <w:spacing w:after="180" w:line="240" w:lineRule="auto"/>
      </w:pPr>
    </w:p>
    <w:p w14:paraId="0980D7D8" w14:textId="7A5CD7A3" w:rsidR="00E96DEC" w:rsidRDefault="00E96DEC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  <w:r>
        <w:rPr>
          <w:noProof/>
        </w:rPr>
        <w:drawing>
          <wp:inline distT="0" distB="0" distL="0" distR="0" wp14:anchorId="56C9814C" wp14:editId="780D7630">
            <wp:extent cx="5730240" cy="3247894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3134" cy="32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FCFB" w14:textId="77777777" w:rsidR="004442DB" w:rsidRPr="00A83C4E" w:rsidRDefault="004442DB" w:rsidP="00A83C4E">
      <w:pPr>
        <w:shd w:val="clear" w:color="auto" w:fill="FFFFFF"/>
        <w:spacing w:after="180" w:line="240" w:lineRule="auto"/>
        <w:rPr>
          <w:rFonts w:ascii="Open Sans" w:eastAsia="Times New Roman" w:hAnsi="Open Sans" w:cs="Open Sans"/>
          <w:color w:val="333333"/>
          <w:sz w:val="23"/>
          <w:szCs w:val="23"/>
          <w:lang w:eastAsia="fr-FR"/>
        </w:rPr>
      </w:pPr>
    </w:p>
    <w:p w14:paraId="27997503" w14:textId="77777777" w:rsidR="00A83C4E" w:rsidRDefault="00A83C4E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6E0A1186" w14:textId="134F4602" w:rsidR="00F263EF" w:rsidRDefault="00F263EF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633D65CF" w14:textId="77777777" w:rsidR="00F263EF" w:rsidRDefault="00F263EF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59D53B20" w14:textId="644A2971" w:rsidR="00B137DA" w:rsidRDefault="00B137DA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</w:p>
    <w:p w14:paraId="46CDEE7D" w14:textId="48109363" w:rsidR="002375B4" w:rsidRPr="00626EDF" w:rsidRDefault="008C03A2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</w:pPr>
      <w:r w:rsidRPr="00626EDF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2/ Le </w:t>
      </w:r>
      <w:proofErr w:type="spellStart"/>
      <w:r w:rsidR="00DB7BD1" w:rsidRPr="00626EDF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Private</w:t>
      </w:r>
      <w:proofErr w:type="spellEnd"/>
      <w:r w:rsidR="00DB7BD1" w:rsidRPr="00626EDF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 xml:space="preserve"> </w:t>
      </w:r>
      <w:proofErr w:type="spellStart"/>
      <w:r w:rsidR="00DB7BD1" w:rsidRPr="00626EDF">
        <w:rPr>
          <w:rFonts w:asciiTheme="majorHAnsi" w:hAnsiTheme="majorHAnsi" w:cstheme="majorHAnsi"/>
          <w:b/>
          <w:bCs/>
          <w:color w:val="1F3864" w:themeColor="accent1" w:themeShade="80"/>
          <w:sz w:val="22"/>
          <w:u w:val="single"/>
        </w:rPr>
        <w:t>equity</w:t>
      </w:r>
      <w:proofErr w:type="spellEnd"/>
    </w:p>
    <w:p w14:paraId="7CC02916" w14:textId="72F51A57" w:rsidR="00DB7BD1" w:rsidRDefault="00DB7BD1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4000646E" w14:textId="16A72318" w:rsidR="00DB7BD1" w:rsidRPr="0081023D" w:rsidRDefault="00DB7BD1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>Afin d’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éviter</w:t>
      </w: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la volatilité potentielle des marchés à court terme, </w:t>
      </w:r>
      <w:r w:rsidR="0030248E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le </w:t>
      </w:r>
      <w:proofErr w:type="spellStart"/>
      <w:r w:rsidR="0030248E" w:rsidRPr="0081023D">
        <w:rPr>
          <w:rFonts w:asciiTheme="majorHAnsi" w:hAnsiTheme="majorHAnsi" w:cstheme="majorHAnsi"/>
          <w:color w:val="1F3864" w:themeColor="accent1" w:themeShade="80"/>
          <w:sz w:val="22"/>
        </w:rPr>
        <w:t>private</w:t>
      </w:r>
      <w:proofErr w:type="spellEnd"/>
      <w:r w:rsidR="0030248E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  <w:proofErr w:type="spellStart"/>
      <w:r w:rsidR="0030248E" w:rsidRPr="0081023D">
        <w:rPr>
          <w:rFonts w:asciiTheme="majorHAnsi" w:hAnsiTheme="majorHAnsi" w:cstheme="majorHAnsi"/>
          <w:color w:val="1F3864" w:themeColor="accent1" w:themeShade="80"/>
          <w:sz w:val="22"/>
        </w:rPr>
        <w:t>equity</w:t>
      </w:r>
      <w:proofErr w:type="spellEnd"/>
      <w:r w:rsidR="0030248E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peut avoir de l’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intérêt</w:t>
      </w:r>
      <w:r w:rsidR="0030248E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selon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nous.</w:t>
      </w:r>
    </w:p>
    <w:p w14:paraId="2CB1C124" w14:textId="3169D06D" w:rsidR="0030248E" w:rsidRPr="0081023D" w:rsidRDefault="0030248E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Nous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privilégions</w:t>
      </w: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pour se faire le fonds Apax </w:t>
      </w:r>
      <w:r w:rsidR="00303CFC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éligible sur le contrat d’assurance vie, à partir de 5 000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€.</w:t>
      </w:r>
    </w:p>
    <w:p w14:paraId="2B422333" w14:textId="2B92DA86" w:rsidR="00303CFC" w:rsidRPr="0081023D" w:rsidRDefault="00303CFC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Apax est le leader du </w:t>
      </w:r>
      <w:proofErr w:type="spellStart"/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>private</w:t>
      </w:r>
      <w:proofErr w:type="spellEnd"/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</w:t>
      </w:r>
      <w:proofErr w:type="spellStart"/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>equity</w:t>
      </w:r>
      <w:proofErr w:type="spellEnd"/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en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Europe</w:t>
      </w: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. Le fonds investit dans 4 </w:t>
      </w:r>
      <w:r w:rsidR="00BB04F0">
        <w:rPr>
          <w:rFonts w:asciiTheme="majorHAnsi" w:hAnsiTheme="majorHAnsi" w:cstheme="majorHAnsi"/>
          <w:color w:val="1F3864" w:themeColor="accent1" w:themeShade="80"/>
          <w:sz w:val="22"/>
        </w:rPr>
        <w:t>secteurs et ne prend que des participations majoritaires</w:t>
      </w: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> :</w:t>
      </w:r>
    </w:p>
    <w:p w14:paraId="1DF697A2" w14:textId="07316B40" w:rsidR="00C01F8F" w:rsidRPr="0081023D" w:rsidRDefault="00C01F8F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Techno et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télécom,</w:t>
      </w: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santé, services à la personne et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biens</w:t>
      </w: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de consommation.</w:t>
      </w:r>
    </w:p>
    <w:p w14:paraId="2587BD22" w14:textId="2B759D82" w:rsidR="00C01F8F" w:rsidRPr="0081023D" w:rsidRDefault="00C01F8F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Le nouveau format permet </w:t>
      </w:r>
      <w:r w:rsidR="00BA50EC" w:rsidRPr="0081023D">
        <w:rPr>
          <w:rFonts w:asciiTheme="majorHAnsi" w:hAnsiTheme="majorHAnsi" w:cstheme="majorHAnsi"/>
          <w:color w:val="1F3864" w:themeColor="accent1" w:themeShade="80"/>
          <w:sz w:val="22"/>
        </w:rPr>
        <w:t>d’investir sans que l’investissement soit bloqué, on peut sortir à tout moment</w:t>
      </w:r>
      <w:r w:rsidR="009B3CC1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(cependant l’horizon d’investissement conseillé est de 5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ans)</w:t>
      </w:r>
      <w:r w:rsidR="009B3CC1" w:rsidRPr="0081023D">
        <w:rPr>
          <w:rFonts w:asciiTheme="majorHAnsi" w:hAnsiTheme="majorHAnsi" w:cstheme="majorHAnsi"/>
          <w:color w:val="1F3864" w:themeColor="accent1" w:themeShade="80"/>
          <w:sz w:val="22"/>
        </w:rPr>
        <w:t>.</w:t>
      </w:r>
      <w:r w:rsidR="00BB04F0">
        <w:rPr>
          <w:rFonts w:asciiTheme="majorHAnsi" w:hAnsiTheme="majorHAnsi" w:cstheme="majorHAnsi"/>
          <w:color w:val="1F3864" w:themeColor="accent1" w:themeShade="80"/>
          <w:sz w:val="22"/>
        </w:rPr>
        <w:t xml:space="preserve"> Le fonds est éligible sur </w:t>
      </w:r>
      <w:r w:rsidR="007E258C">
        <w:rPr>
          <w:rFonts w:asciiTheme="majorHAnsi" w:hAnsiTheme="majorHAnsi" w:cstheme="majorHAnsi"/>
          <w:color w:val="1F3864" w:themeColor="accent1" w:themeShade="80"/>
          <w:sz w:val="22"/>
        </w:rPr>
        <w:t xml:space="preserve">les contrats d’assurance vie </w:t>
      </w:r>
      <w:proofErr w:type="spellStart"/>
      <w:r w:rsidR="007E258C">
        <w:rPr>
          <w:rFonts w:asciiTheme="majorHAnsi" w:hAnsiTheme="majorHAnsi" w:cstheme="majorHAnsi"/>
          <w:color w:val="1F3864" w:themeColor="accent1" w:themeShade="80"/>
          <w:sz w:val="22"/>
        </w:rPr>
        <w:t>Cardif</w:t>
      </w:r>
      <w:proofErr w:type="spellEnd"/>
      <w:r w:rsidR="007E258C">
        <w:rPr>
          <w:rFonts w:asciiTheme="majorHAnsi" w:hAnsiTheme="majorHAnsi" w:cstheme="majorHAnsi"/>
          <w:color w:val="1F3864" w:themeColor="accent1" w:themeShade="80"/>
          <w:sz w:val="22"/>
        </w:rPr>
        <w:t xml:space="preserve"> et Axa.</w:t>
      </w:r>
    </w:p>
    <w:p w14:paraId="4EC54924" w14:textId="64E39856" w:rsidR="009B3CC1" w:rsidRPr="0081023D" w:rsidRDefault="00A76ECC" w:rsidP="004845B9">
      <w:pPr>
        <w:pStyle w:val="Contenu"/>
        <w:rPr>
          <w:rFonts w:asciiTheme="majorHAnsi" w:hAnsiTheme="majorHAnsi" w:cstheme="majorHAnsi"/>
          <w:color w:val="1F3864" w:themeColor="accent1" w:themeShade="80"/>
          <w:sz w:val="22"/>
        </w:rPr>
      </w:pP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Le </w:t>
      </w:r>
      <w:r w:rsidR="007D3DBF" w:rsidRPr="0081023D">
        <w:rPr>
          <w:rFonts w:asciiTheme="majorHAnsi" w:hAnsiTheme="majorHAnsi" w:cstheme="majorHAnsi"/>
          <w:color w:val="1F3864" w:themeColor="accent1" w:themeShade="80"/>
          <w:sz w:val="22"/>
        </w:rPr>
        <w:t>rendement</w:t>
      </w:r>
      <w:r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visé par Apax sur ce fonds est entre 8 et 10%/ an (ce rendement </w:t>
      </w:r>
      <w:r w:rsidR="003137FD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n’est qu’une cible à aucun moment il </w:t>
      </w:r>
      <w:proofErr w:type="gramStart"/>
      <w:r w:rsidR="007E258C">
        <w:rPr>
          <w:rFonts w:asciiTheme="majorHAnsi" w:hAnsiTheme="majorHAnsi" w:cstheme="majorHAnsi"/>
          <w:color w:val="1F3864" w:themeColor="accent1" w:themeShade="80"/>
          <w:sz w:val="22"/>
        </w:rPr>
        <w:t xml:space="preserve">n’ </w:t>
      </w:r>
      <w:r w:rsidR="003137FD" w:rsidRPr="0081023D">
        <w:rPr>
          <w:rFonts w:asciiTheme="majorHAnsi" w:hAnsiTheme="majorHAnsi" w:cstheme="majorHAnsi"/>
          <w:color w:val="1F3864" w:themeColor="accent1" w:themeShade="80"/>
          <w:sz w:val="22"/>
        </w:rPr>
        <w:t>est</w:t>
      </w:r>
      <w:proofErr w:type="gramEnd"/>
      <w:r w:rsidR="003137FD" w:rsidRPr="0081023D">
        <w:rPr>
          <w:rFonts w:asciiTheme="majorHAnsi" w:hAnsiTheme="majorHAnsi" w:cstheme="majorHAnsi"/>
          <w:color w:val="1F3864" w:themeColor="accent1" w:themeShade="80"/>
          <w:sz w:val="22"/>
        </w:rPr>
        <w:t xml:space="preserve"> garanti et ce fonds comporte des risques de perte en capital).</w:t>
      </w:r>
    </w:p>
    <w:p w14:paraId="4FDE37C6" w14:textId="1B0E826B" w:rsidR="003137FD" w:rsidRDefault="003137FD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16AE1465" w14:textId="77777777" w:rsidR="003137FD" w:rsidRDefault="003137FD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58F67DB4" w14:textId="1D107A2D" w:rsidR="002375B4" w:rsidRDefault="002375B4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146834EE" w14:textId="7B243B3C" w:rsidR="002375B4" w:rsidRDefault="002375B4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380166EE" w14:textId="28D6954D" w:rsidR="002375B4" w:rsidRDefault="002375B4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13812EF8" w14:textId="77777777" w:rsidR="002C38DD" w:rsidRDefault="002C38DD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64E6FFE8" w14:textId="77777777" w:rsidR="002C38DD" w:rsidRDefault="002C38DD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317A0555" w14:textId="77777777" w:rsidR="00A939EC" w:rsidRDefault="00A939EC" w:rsidP="004845B9">
      <w:pPr>
        <w:pStyle w:val="Contenu"/>
        <w:rPr>
          <w:rFonts w:asciiTheme="majorHAnsi" w:hAnsiTheme="majorHAnsi" w:cstheme="majorHAnsi"/>
          <w:b/>
          <w:bCs/>
          <w:color w:val="1F3864" w:themeColor="accent1" w:themeShade="80"/>
          <w:sz w:val="22"/>
        </w:rPr>
      </w:pPr>
    </w:p>
    <w:p w14:paraId="6E7D719E" w14:textId="3863C448" w:rsidR="00741E24" w:rsidRDefault="004C2D06">
      <w:pPr>
        <w:rPr>
          <w:rFonts w:asciiTheme="majorHAnsi" w:hAnsiTheme="majorHAnsi" w:cstheme="majorHAnsi"/>
          <w:b/>
          <w:bCs/>
          <w:u w:val="single"/>
        </w:rPr>
      </w:pPr>
      <w:r w:rsidRPr="004C2D06">
        <w:rPr>
          <w:rFonts w:asciiTheme="majorHAnsi" w:hAnsiTheme="majorHAnsi" w:cstheme="majorHAnsi"/>
          <w:b/>
          <w:bCs/>
          <w:u w:val="single"/>
        </w:rPr>
        <w:t>Nos allocations d’actifs type :</w:t>
      </w:r>
    </w:p>
    <w:p w14:paraId="6AF2B3DF" w14:textId="77777777" w:rsidR="0045568D" w:rsidRPr="004C2D06" w:rsidRDefault="0045568D">
      <w:pPr>
        <w:rPr>
          <w:rFonts w:asciiTheme="majorHAnsi" w:hAnsiTheme="majorHAnsi" w:cstheme="majorHAnsi"/>
          <w:b/>
          <w:bCs/>
          <w:u w:val="single"/>
        </w:rPr>
      </w:pPr>
    </w:p>
    <w:p w14:paraId="391FC03C" w14:textId="14612FB9" w:rsidR="00E86549" w:rsidRDefault="00E86549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DF069E">
        <w:rPr>
          <w:rFonts w:asciiTheme="majorHAnsi" w:hAnsiTheme="majorHAnsi" w:cstheme="majorHAnsi"/>
          <w:b/>
          <w:bCs/>
          <w:sz w:val="24"/>
          <w:szCs w:val="24"/>
          <w:u w:val="single"/>
        </w:rPr>
        <w:t>-Allocation prudente</w:t>
      </w:r>
    </w:p>
    <w:p w14:paraId="6F708DFE" w14:textId="4C04358B" w:rsidR="0045568D" w:rsidRDefault="0045568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8870177" w14:textId="6BE21287" w:rsidR="0045568D" w:rsidRDefault="0045568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AEDBAE7" wp14:editId="54FFACD1">
            <wp:extent cx="4263041" cy="2506980"/>
            <wp:effectExtent l="0" t="0" r="4445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2195" cy="251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A69BB" w14:textId="0E6CF295" w:rsidR="00B40601" w:rsidRDefault="00B40601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4A2EC83" w14:textId="44C6AA0F" w:rsidR="00B40601" w:rsidRPr="00DF069E" w:rsidRDefault="00FF15C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76CD81" wp14:editId="2C2555ED">
            <wp:extent cx="5760720" cy="1217295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092D" w14:textId="712AE394" w:rsidR="00863EF3" w:rsidRPr="00DF069E" w:rsidRDefault="00863EF3">
      <w:pPr>
        <w:rPr>
          <w:rFonts w:asciiTheme="majorHAnsi" w:hAnsiTheme="majorHAnsi" w:cstheme="majorHAnsi"/>
        </w:rPr>
      </w:pPr>
    </w:p>
    <w:p w14:paraId="1970EC30" w14:textId="1C21B585" w:rsidR="00276272" w:rsidRPr="00DF069E" w:rsidRDefault="00276272">
      <w:pPr>
        <w:rPr>
          <w:rFonts w:asciiTheme="majorHAnsi" w:hAnsiTheme="majorHAnsi" w:cstheme="majorHAnsi"/>
        </w:rPr>
      </w:pPr>
    </w:p>
    <w:p w14:paraId="543D7F1D" w14:textId="15699576" w:rsidR="00276272" w:rsidRPr="00DF069E" w:rsidRDefault="00276272">
      <w:pPr>
        <w:rPr>
          <w:rFonts w:asciiTheme="majorHAnsi" w:hAnsiTheme="majorHAnsi" w:cstheme="majorHAnsi"/>
        </w:rPr>
      </w:pPr>
    </w:p>
    <w:p w14:paraId="59730281" w14:textId="01C5FE45" w:rsidR="009E4059" w:rsidRDefault="009E4059">
      <w:pPr>
        <w:rPr>
          <w:rFonts w:asciiTheme="majorHAnsi" w:hAnsiTheme="majorHAnsi" w:cstheme="majorHAnsi"/>
          <w:noProof/>
        </w:rPr>
      </w:pPr>
    </w:p>
    <w:p w14:paraId="23B8490D" w14:textId="2F5E2084" w:rsidR="00E679C5" w:rsidRDefault="00E679C5">
      <w:pPr>
        <w:rPr>
          <w:rFonts w:asciiTheme="majorHAnsi" w:hAnsiTheme="majorHAnsi" w:cstheme="majorHAnsi"/>
          <w:noProof/>
        </w:rPr>
      </w:pPr>
    </w:p>
    <w:p w14:paraId="78B2D8B6" w14:textId="66154806" w:rsidR="00E679C5" w:rsidRPr="00DF069E" w:rsidRDefault="00E679C5">
      <w:pPr>
        <w:rPr>
          <w:rFonts w:asciiTheme="majorHAnsi" w:hAnsiTheme="majorHAnsi" w:cstheme="majorHAnsi"/>
        </w:rPr>
      </w:pPr>
    </w:p>
    <w:p w14:paraId="5CAF37B3" w14:textId="77777777" w:rsidR="00FF15CD" w:rsidRDefault="00FF15C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A82B0D4" w14:textId="77777777" w:rsidR="00FF15CD" w:rsidRDefault="00FF15C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1EF16EFA" w14:textId="77777777" w:rsidR="00FF15CD" w:rsidRDefault="00FF15C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B866772" w14:textId="77777777" w:rsidR="00FF15CD" w:rsidRDefault="00FF15C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BD0F8FF" w14:textId="2F3B2851" w:rsidR="00E86549" w:rsidRPr="00DF069E" w:rsidRDefault="00E86549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DF069E">
        <w:rPr>
          <w:rFonts w:asciiTheme="majorHAnsi" w:hAnsiTheme="majorHAnsi" w:cstheme="majorHAnsi"/>
          <w:b/>
          <w:bCs/>
          <w:sz w:val="24"/>
          <w:szCs w:val="24"/>
          <w:u w:val="single"/>
        </w:rPr>
        <w:t>-Allocation équilibrée</w:t>
      </w:r>
    </w:p>
    <w:p w14:paraId="19C48922" w14:textId="23CD9FAA" w:rsidR="00D81FD9" w:rsidRPr="00DF069E" w:rsidRDefault="00D81FD9">
      <w:pPr>
        <w:rPr>
          <w:rFonts w:asciiTheme="majorHAnsi" w:hAnsiTheme="majorHAnsi" w:cstheme="majorHAnsi"/>
        </w:rPr>
      </w:pPr>
    </w:p>
    <w:p w14:paraId="76846A02" w14:textId="4E6BB57F" w:rsidR="00E86549" w:rsidRPr="00DF069E" w:rsidRDefault="00F53F60">
      <w:pPr>
        <w:rPr>
          <w:rFonts w:asciiTheme="majorHAnsi" w:hAnsiTheme="majorHAnsi" w:cstheme="majorHAnsi"/>
        </w:rPr>
      </w:pPr>
      <w:r w:rsidRPr="00DF069E">
        <w:rPr>
          <w:rFonts w:asciiTheme="majorHAnsi" w:hAnsiTheme="majorHAnsi" w:cstheme="majorHAnsi"/>
          <w:noProof/>
        </w:rPr>
        <w:drawing>
          <wp:inline distT="0" distB="0" distL="0" distR="0" wp14:anchorId="4944C271" wp14:editId="7F9A8A0F">
            <wp:extent cx="3259504" cy="18288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2998" cy="183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E97C" w14:textId="77777777" w:rsidR="00E86549" w:rsidRPr="00DF069E" w:rsidRDefault="00E86549">
      <w:pPr>
        <w:rPr>
          <w:rFonts w:asciiTheme="majorHAnsi" w:hAnsiTheme="majorHAnsi" w:cstheme="majorHAnsi"/>
        </w:rPr>
      </w:pPr>
    </w:p>
    <w:p w14:paraId="5793FCA0" w14:textId="77777777" w:rsidR="00813B47" w:rsidRPr="00DF069E" w:rsidRDefault="00813B47">
      <w:pPr>
        <w:rPr>
          <w:rFonts w:asciiTheme="majorHAnsi" w:hAnsiTheme="majorHAnsi" w:cstheme="majorHAnsi"/>
        </w:rPr>
      </w:pPr>
    </w:p>
    <w:p w14:paraId="3A9E2442" w14:textId="77777777" w:rsidR="00FF15CD" w:rsidRDefault="00CE29B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5C462F7" wp14:editId="055BD7CA">
            <wp:extent cx="5760720" cy="12484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6B12F" w14:textId="77777777" w:rsidR="00FF15CD" w:rsidRDefault="00FF15CD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C207CA5" w14:textId="5FE1BEEF" w:rsidR="00A16FA7" w:rsidRPr="00DF069E" w:rsidRDefault="00E86549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DF069E">
        <w:rPr>
          <w:rFonts w:asciiTheme="majorHAnsi" w:hAnsiTheme="majorHAnsi" w:cstheme="majorHAnsi"/>
          <w:b/>
          <w:bCs/>
          <w:sz w:val="24"/>
          <w:szCs w:val="24"/>
          <w:u w:val="single"/>
        </w:rPr>
        <w:t>-Allocation Dynamique</w:t>
      </w:r>
      <w:r w:rsidR="00AB3B43" w:rsidRPr="00DF069E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</w:p>
    <w:p w14:paraId="627F5881" w14:textId="77777777" w:rsidR="00A16FA7" w:rsidRPr="00DF069E" w:rsidRDefault="00A16FA7">
      <w:pPr>
        <w:rPr>
          <w:rFonts w:asciiTheme="majorHAnsi" w:hAnsiTheme="majorHAnsi" w:cstheme="majorHAnsi"/>
        </w:rPr>
      </w:pPr>
    </w:p>
    <w:p w14:paraId="702BC508" w14:textId="22C5F449" w:rsidR="0025421B" w:rsidRPr="00DF069E" w:rsidRDefault="00025CAB">
      <w:pPr>
        <w:rPr>
          <w:rFonts w:asciiTheme="majorHAnsi" w:hAnsiTheme="majorHAnsi" w:cstheme="majorHAnsi"/>
        </w:rPr>
      </w:pPr>
      <w:r w:rsidRPr="00DF069E">
        <w:rPr>
          <w:rFonts w:asciiTheme="majorHAnsi" w:hAnsiTheme="majorHAnsi" w:cstheme="majorHAnsi"/>
          <w:noProof/>
        </w:rPr>
        <w:drawing>
          <wp:inline distT="0" distB="0" distL="0" distR="0" wp14:anchorId="1F396AFD" wp14:editId="31B4EB43">
            <wp:extent cx="3551193" cy="2051957"/>
            <wp:effectExtent l="0" t="0" r="0" b="571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0753" cy="205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A298" w14:textId="77777777" w:rsidR="0025421B" w:rsidRPr="00DF069E" w:rsidRDefault="0025421B">
      <w:pPr>
        <w:rPr>
          <w:rFonts w:asciiTheme="majorHAnsi" w:hAnsiTheme="majorHAnsi" w:cstheme="majorHAnsi"/>
        </w:rPr>
      </w:pPr>
    </w:p>
    <w:p w14:paraId="682F4C8D" w14:textId="05024612" w:rsidR="00CF401C" w:rsidRDefault="00CF401C"/>
    <w:p w14:paraId="65159C10" w14:textId="2479AD73" w:rsidR="007363E4" w:rsidRDefault="009679B2">
      <w:r>
        <w:rPr>
          <w:noProof/>
        </w:rPr>
        <w:drawing>
          <wp:inline distT="0" distB="0" distL="0" distR="0" wp14:anchorId="6AFFE745" wp14:editId="562276BD">
            <wp:extent cx="5760720" cy="12617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3E4">
        <w:br w:type="page"/>
      </w:r>
    </w:p>
    <w:p w14:paraId="49A44F72" w14:textId="615B0A20" w:rsidR="00392AC6" w:rsidRDefault="00392AC6"/>
    <w:p w14:paraId="6E527D6C" w14:textId="77E80E31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Ce document a été réalisé par la société Pali Kao Capital, reflétant ses convictions, n’est diffusé</w:t>
      </w:r>
    </w:p>
    <w:p w14:paraId="6DA28148" w14:textId="5F12B1EB" w:rsidR="008E34CA" w:rsidRPr="00B25A71" w:rsidRDefault="006E3808" w:rsidP="00B25A71">
      <w:pPr>
        <w:pStyle w:val="Paragraphedeliste"/>
        <w:rPr>
          <w:sz w:val="18"/>
          <w:szCs w:val="18"/>
        </w:rPr>
      </w:pPr>
      <w:r w:rsidRPr="00B25A71">
        <w:rPr>
          <w:sz w:val="18"/>
          <w:szCs w:val="18"/>
        </w:rPr>
        <w:t>Qu’à</w:t>
      </w:r>
      <w:r w:rsidR="008E34CA" w:rsidRPr="00B25A71">
        <w:rPr>
          <w:sz w:val="18"/>
          <w:szCs w:val="18"/>
        </w:rPr>
        <w:t xml:space="preserve"> titre informatif.</w:t>
      </w:r>
    </w:p>
    <w:p w14:paraId="0E469A79" w14:textId="5F4F1697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Les informations contenues ne constituent en aucun cas une incitation à acheter ou à vendre des</w:t>
      </w:r>
    </w:p>
    <w:p w14:paraId="47349AC9" w14:textId="1FC70B27" w:rsidR="008E34CA" w:rsidRPr="00B25A71" w:rsidRDefault="006E3808" w:rsidP="00B25A71">
      <w:pPr>
        <w:pStyle w:val="Paragraphedeliste"/>
        <w:rPr>
          <w:sz w:val="18"/>
          <w:szCs w:val="18"/>
        </w:rPr>
      </w:pPr>
      <w:r w:rsidRPr="00B25A71">
        <w:rPr>
          <w:sz w:val="18"/>
          <w:szCs w:val="18"/>
        </w:rPr>
        <w:t>Titres</w:t>
      </w:r>
      <w:r w:rsidR="008E34CA" w:rsidRPr="00B25A71">
        <w:rPr>
          <w:sz w:val="18"/>
          <w:szCs w:val="18"/>
        </w:rPr>
        <w:t>, ni une quelconque sollicitation ou offre de souscription aux fonds d’investissement décrits dans le présent document.</w:t>
      </w:r>
    </w:p>
    <w:p w14:paraId="4822E769" w14:textId="4756E64E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La société Pali Kao Capital peut percevoir une quote-part de rétrocession sur frais de gestion</w:t>
      </w:r>
    </w:p>
    <w:p w14:paraId="7E14918A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liés</w:t>
      </w:r>
      <w:proofErr w:type="gramEnd"/>
      <w:r w:rsidRPr="00B25A71">
        <w:rPr>
          <w:sz w:val="18"/>
          <w:szCs w:val="18"/>
        </w:rPr>
        <w:t xml:space="preserve"> à certains OPC qu’elle conseille.</w:t>
      </w:r>
    </w:p>
    <w:p w14:paraId="339A36BE" w14:textId="2921360E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Il est rappelé aux destinataires de ce document qui envisageraient de souscrire aux fonds décrits dans ce document qu’une telle opération doit être exclusivement envisagée sur la base des informations</w:t>
      </w:r>
      <w:r w:rsidR="00B25A71" w:rsidRPr="00B25A71">
        <w:rPr>
          <w:sz w:val="18"/>
          <w:szCs w:val="18"/>
        </w:rPr>
        <w:t xml:space="preserve"> </w:t>
      </w:r>
      <w:r w:rsidRPr="00B25A71">
        <w:rPr>
          <w:sz w:val="18"/>
          <w:szCs w:val="18"/>
        </w:rPr>
        <w:t>figurant dans le prospectus des fonds, qui peuvent être différentes de celles présentées dans le</w:t>
      </w:r>
      <w:r w:rsidR="00B25A71" w:rsidRPr="00B25A71">
        <w:rPr>
          <w:sz w:val="18"/>
          <w:szCs w:val="18"/>
        </w:rPr>
        <w:t xml:space="preserve"> </w:t>
      </w:r>
      <w:r w:rsidRPr="00B25A71">
        <w:rPr>
          <w:sz w:val="18"/>
          <w:szCs w:val="18"/>
        </w:rPr>
        <w:t>présent document.</w:t>
      </w:r>
    </w:p>
    <w:p w14:paraId="3E32EAB8" w14:textId="3E8A87A7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Aucune garantie, exprimée ou implicite, ne saurait être attachée au présent document, ni de la part</w:t>
      </w:r>
    </w:p>
    <w:p w14:paraId="42636A90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de</w:t>
      </w:r>
      <w:proofErr w:type="gramEnd"/>
      <w:r w:rsidRPr="00B25A71">
        <w:rPr>
          <w:sz w:val="18"/>
          <w:szCs w:val="18"/>
        </w:rPr>
        <w:t xml:space="preserve"> la société, ni de ses dirigeants, en ce qui concerne l’exactitude, l’intégralité ou la précision des</w:t>
      </w:r>
    </w:p>
    <w:p w14:paraId="7AFBE85B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informations</w:t>
      </w:r>
      <w:proofErr w:type="gramEnd"/>
      <w:r w:rsidRPr="00B25A71">
        <w:rPr>
          <w:sz w:val="18"/>
          <w:szCs w:val="18"/>
        </w:rPr>
        <w:t xml:space="preserve"> qui y sont contenues. De la même façon, la société et ses dirigeants déclinent toute</w:t>
      </w:r>
    </w:p>
    <w:p w14:paraId="2D0DE74B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forme</w:t>
      </w:r>
      <w:proofErr w:type="gramEnd"/>
      <w:r w:rsidRPr="00B25A71">
        <w:rPr>
          <w:sz w:val="18"/>
          <w:szCs w:val="18"/>
        </w:rPr>
        <w:t xml:space="preserve"> d’engagement ou de responsabilité auprès de ceux qui auront pris connaissance de ce</w:t>
      </w:r>
    </w:p>
    <w:p w14:paraId="096EE205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document</w:t>
      </w:r>
      <w:proofErr w:type="gramEnd"/>
      <w:r w:rsidRPr="00B25A71">
        <w:rPr>
          <w:sz w:val="18"/>
          <w:szCs w:val="18"/>
        </w:rPr>
        <w:t>.</w:t>
      </w:r>
    </w:p>
    <w:p w14:paraId="7DE18F03" w14:textId="3155231B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La distribution de ce document peut être légalement interdite dans certains pays. Il appartient donc</w:t>
      </w:r>
    </w:p>
    <w:p w14:paraId="513864F1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aux</w:t>
      </w:r>
      <w:proofErr w:type="gramEnd"/>
      <w:r w:rsidRPr="00B25A71">
        <w:rPr>
          <w:sz w:val="18"/>
          <w:szCs w:val="18"/>
        </w:rPr>
        <w:t xml:space="preserve"> personnes qui en prennent connaissance de s’assurer par elles-mêmes qu’elles ne résident pas</w:t>
      </w:r>
    </w:p>
    <w:p w14:paraId="7B855F51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dans</w:t>
      </w:r>
      <w:proofErr w:type="gramEnd"/>
      <w:r w:rsidRPr="00B25A71">
        <w:rPr>
          <w:sz w:val="18"/>
          <w:szCs w:val="18"/>
        </w:rPr>
        <w:t xml:space="preserve"> ces pays concernés, et le cas échéant d’en respecter les restrictions législatives. La distribution</w:t>
      </w:r>
    </w:p>
    <w:p w14:paraId="46A6AA99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de</w:t>
      </w:r>
      <w:proofErr w:type="gramEnd"/>
      <w:r w:rsidRPr="00B25A71">
        <w:rPr>
          <w:sz w:val="18"/>
          <w:szCs w:val="18"/>
        </w:rPr>
        <w:t xml:space="preserve"> ce document dans ces pays est susceptible de représenter une atteinte à la Loi.</w:t>
      </w:r>
    </w:p>
    <w:p w14:paraId="02EB994F" w14:textId="2424B2EE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Les performances passées ne sauraient préjuger des performances futures. Les investisseurs sont</w:t>
      </w:r>
    </w:p>
    <w:p w14:paraId="23652A7E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susceptibles</w:t>
      </w:r>
      <w:proofErr w:type="gramEnd"/>
      <w:r w:rsidRPr="00B25A71">
        <w:rPr>
          <w:sz w:val="18"/>
          <w:szCs w:val="18"/>
        </w:rPr>
        <w:t xml:space="preserve"> de subir de lourdes pertes par rapport à leur investissement initial selon l’évolution des</w:t>
      </w:r>
    </w:p>
    <w:p w14:paraId="7B1BDF7E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marchés</w:t>
      </w:r>
      <w:proofErr w:type="gramEnd"/>
      <w:r w:rsidRPr="00B25A71">
        <w:rPr>
          <w:sz w:val="18"/>
          <w:szCs w:val="18"/>
        </w:rPr>
        <w:t xml:space="preserve"> et des cours de change. De même que les données présentées se réfèrent à des simulations</w:t>
      </w:r>
    </w:p>
    <w:p w14:paraId="7759CCB2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des</w:t>
      </w:r>
      <w:proofErr w:type="gramEnd"/>
      <w:r w:rsidRPr="00B25A71">
        <w:rPr>
          <w:sz w:val="18"/>
          <w:szCs w:val="18"/>
        </w:rPr>
        <w:t xml:space="preserve"> performances passées et ne préjugent en rien des performances futures.</w:t>
      </w:r>
    </w:p>
    <w:p w14:paraId="2C9D43E4" w14:textId="3602D044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Les performances présentées sont les simulations de performances historiques de portefeuilles-types,</w:t>
      </w:r>
      <w:r w:rsidR="00B25A71" w:rsidRPr="00B25A71">
        <w:rPr>
          <w:sz w:val="18"/>
          <w:szCs w:val="18"/>
        </w:rPr>
        <w:t xml:space="preserve"> </w:t>
      </w:r>
      <w:r w:rsidRPr="00B25A71">
        <w:rPr>
          <w:sz w:val="18"/>
          <w:szCs w:val="18"/>
        </w:rPr>
        <w:t>utilisées comme indicateurs par la société pour le service d’allocations. Ces performances, qui son</w:t>
      </w:r>
      <w:r w:rsidR="00B25A71" w:rsidRPr="00B25A71">
        <w:rPr>
          <w:sz w:val="18"/>
          <w:szCs w:val="18"/>
        </w:rPr>
        <w:t xml:space="preserve">t </w:t>
      </w:r>
      <w:r w:rsidRPr="00B25A71">
        <w:rPr>
          <w:sz w:val="18"/>
          <w:szCs w:val="18"/>
        </w:rPr>
        <w:t>brutes de toutes commissions, redevances et autres charges, n’intègrent donc pas l’impact des frais</w:t>
      </w:r>
      <w:r w:rsidR="00B25A71" w:rsidRPr="00B25A71">
        <w:rPr>
          <w:sz w:val="18"/>
          <w:szCs w:val="18"/>
        </w:rPr>
        <w:t xml:space="preserve"> </w:t>
      </w:r>
      <w:r w:rsidRPr="00B25A71">
        <w:rPr>
          <w:sz w:val="18"/>
          <w:szCs w:val="18"/>
        </w:rPr>
        <w:t>de gestion et / ou de transactions facturées par un quelconque teneur de compte et/ou le ca</w:t>
      </w:r>
      <w:r w:rsidR="00B25A71">
        <w:rPr>
          <w:sz w:val="18"/>
          <w:szCs w:val="18"/>
        </w:rPr>
        <w:t xml:space="preserve">s </w:t>
      </w:r>
      <w:r w:rsidRPr="00B25A71">
        <w:rPr>
          <w:sz w:val="18"/>
          <w:szCs w:val="18"/>
        </w:rPr>
        <w:t>échéant par le récepteur-transmetteur d’ordres. La méthode de calcul des performances des</w:t>
      </w:r>
      <w:r w:rsidR="00B25A71">
        <w:rPr>
          <w:sz w:val="18"/>
          <w:szCs w:val="18"/>
        </w:rPr>
        <w:t xml:space="preserve"> </w:t>
      </w:r>
      <w:r w:rsidRPr="00B25A71">
        <w:rPr>
          <w:sz w:val="18"/>
          <w:szCs w:val="18"/>
        </w:rPr>
        <w:t>portefeuilles-types et des indices de référence, ainsi que la composition des indices de référence sont</w:t>
      </w:r>
      <w:r w:rsidR="00B25A71">
        <w:rPr>
          <w:sz w:val="18"/>
          <w:szCs w:val="18"/>
        </w:rPr>
        <w:t xml:space="preserve"> </w:t>
      </w:r>
      <w:r w:rsidRPr="00B25A71">
        <w:rPr>
          <w:sz w:val="18"/>
          <w:szCs w:val="18"/>
        </w:rPr>
        <w:t xml:space="preserve">disponibles sur simple demande auprès </w:t>
      </w:r>
      <w:r w:rsidR="00B25A71" w:rsidRPr="00B25A71">
        <w:rPr>
          <w:sz w:val="18"/>
          <w:szCs w:val="18"/>
        </w:rPr>
        <w:t>de Pali Kao Capital</w:t>
      </w:r>
      <w:r w:rsidRPr="00B25A71">
        <w:rPr>
          <w:sz w:val="18"/>
          <w:szCs w:val="18"/>
        </w:rPr>
        <w:t>.</w:t>
      </w:r>
    </w:p>
    <w:p w14:paraId="28424C3C" w14:textId="05F62F8F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Les indications de performances, qui résultent des simulations, ne sont pas certifiées et ne sont</w:t>
      </w:r>
    </w:p>
    <w:p w14:paraId="12735B70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fournies</w:t>
      </w:r>
      <w:proofErr w:type="gramEnd"/>
      <w:r w:rsidRPr="00B25A71">
        <w:rPr>
          <w:sz w:val="18"/>
          <w:szCs w:val="18"/>
        </w:rPr>
        <w:t xml:space="preserve"> que pour illustrer la présentation générale du service de conseil en allocation que propose</w:t>
      </w:r>
    </w:p>
    <w:p w14:paraId="6E878FA8" w14:textId="35376563" w:rsidR="008E34CA" w:rsidRPr="00B25A71" w:rsidRDefault="00B25A71" w:rsidP="00B25A71">
      <w:pPr>
        <w:pStyle w:val="Paragraphedeliste"/>
        <w:rPr>
          <w:sz w:val="18"/>
          <w:szCs w:val="18"/>
        </w:rPr>
      </w:pPr>
      <w:r w:rsidRPr="00B25A71">
        <w:rPr>
          <w:sz w:val="18"/>
          <w:szCs w:val="18"/>
        </w:rPr>
        <w:t>Pali Kao Capital</w:t>
      </w:r>
      <w:r w:rsidR="008E34CA" w:rsidRPr="00B25A71">
        <w:rPr>
          <w:sz w:val="18"/>
          <w:szCs w:val="18"/>
        </w:rPr>
        <w:t>, ce service nécessitant, pour être mis en œuvre, la fourniture d’informations</w:t>
      </w:r>
    </w:p>
    <w:p w14:paraId="619F142B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complémentaires</w:t>
      </w:r>
      <w:proofErr w:type="gramEnd"/>
      <w:r w:rsidRPr="00B25A71">
        <w:rPr>
          <w:sz w:val="18"/>
          <w:szCs w:val="18"/>
        </w:rPr>
        <w:t xml:space="preserve"> et la présentation de documents précontractuels et contractuels.</w:t>
      </w:r>
    </w:p>
    <w:p w14:paraId="2ED5A471" w14:textId="15979ACD" w:rsidR="008E34CA" w:rsidRPr="00B25A71" w:rsidRDefault="008E34CA" w:rsidP="00B25A71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B25A71">
        <w:rPr>
          <w:sz w:val="18"/>
          <w:szCs w:val="18"/>
        </w:rPr>
        <w:t>Certains mouvements peuvent ne pas impacter la totalité des portefeuilles gérés en raison de leur</w:t>
      </w:r>
    </w:p>
    <w:p w14:paraId="55124F54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nature</w:t>
      </w:r>
      <w:proofErr w:type="gramEnd"/>
      <w:r w:rsidRPr="00B25A71">
        <w:rPr>
          <w:sz w:val="18"/>
          <w:szCs w:val="18"/>
        </w:rPr>
        <w:t>, de leur taille ou des contraintes qui leur sont propres. Les publications d’opérations réalisées</w:t>
      </w:r>
    </w:p>
    <w:p w14:paraId="3A7A1FE9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ou</w:t>
      </w:r>
      <w:proofErr w:type="gramEnd"/>
      <w:r w:rsidRPr="00B25A71">
        <w:rPr>
          <w:sz w:val="18"/>
          <w:szCs w:val="18"/>
        </w:rPr>
        <w:t xml:space="preserve"> à venir décrites dans la partie « stratégie d’investissement » ne constituent pas une</w:t>
      </w:r>
    </w:p>
    <w:p w14:paraId="7A26F1AD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recommandation</w:t>
      </w:r>
      <w:proofErr w:type="gramEnd"/>
      <w:r w:rsidRPr="00B25A71">
        <w:rPr>
          <w:sz w:val="18"/>
          <w:szCs w:val="18"/>
        </w:rPr>
        <w:t xml:space="preserve"> d’investissement personnalisée. Elle ne contient aucune recommandation</w:t>
      </w:r>
    </w:p>
    <w:p w14:paraId="4312775A" w14:textId="77777777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d’acheter</w:t>
      </w:r>
      <w:proofErr w:type="gramEnd"/>
      <w:r w:rsidRPr="00B25A71">
        <w:rPr>
          <w:sz w:val="18"/>
          <w:szCs w:val="18"/>
        </w:rPr>
        <w:t>, de vendre ou de conserver un ou plusieurs instrument(s) financier(s) relatif(s) à un ou</w:t>
      </w:r>
    </w:p>
    <w:p w14:paraId="7CA0673B" w14:textId="36799B20" w:rsidR="008E34CA" w:rsidRPr="00B25A71" w:rsidRDefault="008E34CA" w:rsidP="00B25A71">
      <w:pPr>
        <w:pStyle w:val="Paragraphedeliste"/>
        <w:rPr>
          <w:sz w:val="18"/>
          <w:szCs w:val="18"/>
        </w:rPr>
      </w:pPr>
      <w:proofErr w:type="gramStart"/>
      <w:r w:rsidRPr="00B25A71">
        <w:rPr>
          <w:sz w:val="18"/>
          <w:szCs w:val="18"/>
        </w:rPr>
        <w:t>plusieurs</w:t>
      </w:r>
      <w:proofErr w:type="gramEnd"/>
      <w:r w:rsidRPr="00B25A71">
        <w:rPr>
          <w:sz w:val="18"/>
          <w:szCs w:val="18"/>
        </w:rPr>
        <w:t xml:space="preserve"> émetteur(s) et ne peut donc être considérée comme tel.</w:t>
      </w:r>
    </w:p>
    <w:sectPr w:rsidR="008E34CA" w:rsidRPr="00B25A71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0B43E" w14:textId="77777777" w:rsidR="00B70344" w:rsidRDefault="00B70344" w:rsidP="007363E4">
      <w:pPr>
        <w:spacing w:after="0" w:line="240" w:lineRule="auto"/>
      </w:pPr>
      <w:r>
        <w:separator/>
      </w:r>
    </w:p>
  </w:endnote>
  <w:endnote w:type="continuationSeparator" w:id="0">
    <w:p w14:paraId="678569E7" w14:textId="77777777" w:rsidR="00B70344" w:rsidRDefault="00B70344" w:rsidP="00736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431061"/>
      <w:docPartObj>
        <w:docPartGallery w:val="Page Numbers (Bottom of Page)"/>
        <w:docPartUnique/>
      </w:docPartObj>
    </w:sdtPr>
    <w:sdtEndPr/>
    <w:sdtContent>
      <w:p w14:paraId="574C6045" w14:textId="72C1385F" w:rsidR="00791C9F" w:rsidRDefault="00791C9F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379E21" w14:textId="77777777" w:rsidR="00791C9F" w:rsidRDefault="00791C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FD71E" w14:textId="77777777" w:rsidR="00B70344" w:rsidRDefault="00B70344" w:rsidP="007363E4">
      <w:pPr>
        <w:spacing w:after="0" w:line="240" w:lineRule="auto"/>
      </w:pPr>
      <w:r>
        <w:separator/>
      </w:r>
    </w:p>
  </w:footnote>
  <w:footnote w:type="continuationSeparator" w:id="0">
    <w:p w14:paraId="305FC941" w14:textId="77777777" w:rsidR="00B70344" w:rsidRDefault="00B70344" w:rsidP="00736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9657A" w14:textId="0C589EB1" w:rsidR="00791C9F" w:rsidRPr="007363E4" w:rsidRDefault="00791C9F" w:rsidP="007363E4">
    <w:pPr>
      <w:pStyle w:val="En-tte"/>
      <w:jc w:val="center"/>
      <w:rPr>
        <w:rFonts w:ascii="Blackadder ITC" w:hAnsi="Blackadder ITC"/>
        <w:color w:val="2F5496" w:themeColor="accent1" w:themeShade="BF"/>
        <w:sz w:val="32"/>
        <w:szCs w:val="32"/>
      </w:rPr>
    </w:pPr>
    <w:r w:rsidRPr="007363E4">
      <w:rPr>
        <w:rFonts w:ascii="Blackadder ITC" w:hAnsi="Blackadder ITC"/>
        <w:color w:val="2F5496" w:themeColor="accent1" w:themeShade="BF"/>
        <w:sz w:val="32"/>
        <w:szCs w:val="32"/>
      </w:rPr>
      <w:t xml:space="preserve">La Lettre </w:t>
    </w:r>
    <w:r w:rsidR="00E743AF">
      <w:rPr>
        <w:rFonts w:ascii="Blackadder ITC" w:hAnsi="Blackadder ITC"/>
        <w:color w:val="2F5496" w:themeColor="accent1" w:themeShade="BF"/>
        <w:sz w:val="32"/>
        <w:szCs w:val="32"/>
      </w:rPr>
      <w:t>trimestrielle</w:t>
    </w:r>
  </w:p>
  <w:p w14:paraId="1EE246DE" w14:textId="69C5715C" w:rsidR="00791C9F" w:rsidRPr="007363E4" w:rsidRDefault="00791C9F" w:rsidP="00F81754">
    <w:pPr>
      <w:pStyle w:val="En-tte"/>
      <w:jc w:val="center"/>
      <w:rPr>
        <w:rFonts w:ascii="Blackadder ITC" w:hAnsi="Blackadder ITC"/>
        <w:color w:val="2F5496" w:themeColor="accent1" w:themeShade="BF"/>
        <w:sz w:val="32"/>
        <w:szCs w:val="32"/>
      </w:rPr>
    </w:pPr>
    <w:r w:rsidRPr="00E0280B">
      <w:rPr>
        <w:rFonts w:ascii="Blackadder ITC" w:hAnsi="Blackadder ITC"/>
        <w:color w:val="2F5496" w:themeColor="accent1" w:themeShade="BF"/>
        <w:sz w:val="32"/>
        <w:szCs w:val="32"/>
      </w:rPr>
      <w:t xml:space="preserve">Pali </w:t>
    </w:r>
    <w:proofErr w:type="spellStart"/>
    <w:r w:rsidRPr="00E0280B">
      <w:rPr>
        <w:rFonts w:ascii="Blackadder ITC" w:hAnsi="Blackadder ITC"/>
        <w:color w:val="2F5496" w:themeColor="accent1" w:themeShade="BF"/>
        <w:sz w:val="32"/>
        <w:szCs w:val="32"/>
      </w:rPr>
      <w:t>kao</w:t>
    </w:r>
    <w:proofErr w:type="spellEnd"/>
    <w:r w:rsidRPr="00E0280B">
      <w:rPr>
        <w:rFonts w:ascii="Blackadder ITC" w:hAnsi="Blackadder ITC"/>
        <w:color w:val="2F5496" w:themeColor="accent1" w:themeShade="BF"/>
        <w:sz w:val="32"/>
        <w:szCs w:val="32"/>
      </w:rPr>
      <w:t xml:space="preserve"> capital</w:t>
    </w:r>
  </w:p>
  <w:p w14:paraId="5A36CD45" w14:textId="2265209E" w:rsidR="00791C9F" w:rsidRDefault="00791C9F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CA1096B" wp14:editId="2977E422">
              <wp:simplePos x="0" y="0"/>
              <wp:positionH relativeFrom="column">
                <wp:posOffset>-1197668</wp:posOffset>
              </wp:positionH>
              <wp:positionV relativeFrom="paragraph">
                <wp:posOffset>171565</wp:posOffset>
              </wp:positionV>
              <wp:extent cx="7938655" cy="0"/>
              <wp:effectExtent l="0" t="0" r="0" b="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9386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5893A2" id="Connecteur droit 1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4.3pt,13.5pt" to="530.8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1DFC"/>
    <w:multiLevelType w:val="hybridMultilevel"/>
    <w:tmpl w:val="97B0C7E2"/>
    <w:lvl w:ilvl="0" w:tplc="CC28AED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40290"/>
    <w:multiLevelType w:val="hybridMultilevel"/>
    <w:tmpl w:val="4DA4231C"/>
    <w:lvl w:ilvl="0" w:tplc="5A3417D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46C90"/>
    <w:multiLevelType w:val="hybridMultilevel"/>
    <w:tmpl w:val="20060E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E4"/>
    <w:rsid w:val="000040CB"/>
    <w:rsid w:val="000052BD"/>
    <w:rsid w:val="000127DD"/>
    <w:rsid w:val="00016106"/>
    <w:rsid w:val="0002360A"/>
    <w:rsid w:val="00024DE7"/>
    <w:rsid w:val="00025CAB"/>
    <w:rsid w:val="00031EC7"/>
    <w:rsid w:val="00032BBE"/>
    <w:rsid w:val="00036B78"/>
    <w:rsid w:val="00046F98"/>
    <w:rsid w:val="00047327"/>
    <w:rsid w:val="000507B7"/>
    <w:rsid w:val="00060A4F"/>
    <w:rsid w:val="0007264B"/>
    <w:rsid w:val="000732E6"/>
    <w:rsid w:val="00073FAE"/>
    <w:rsid w:val="000820ED"/>
    <w:rsid w:val="0009301F"/>
    <w:rsid w:val="000A4118"/>
    <w:rsid w:val="000B4532"/>
    <w:rsid w:val="000B47D4"/>
    <w:rsid w:val="000B6C11"/>
    <w:rsid w:val="000D01C2"/>
    <w:rsid w:val="000D0D1D"/>
    <w:rsid w:val="000D14C4"/>
    <w:rsid w:val="000E1AA0"/>
    <w:rsid w:val="000E2858"/>
    <w:rsid w:val="000F6211"/>
    <w:rsid w:val="00101837"/>
    <w:rsid w:val="00104A79"/>
    <w:rsid w:val="00111C6D"/>
    <w:rsid w:val="00114EA7"/>
    <w:rsid w:val="0012101B"/>
    <w:rsid w:val="00124EBB"/>
    <w:rsid w:val="001447BC"/>
    <w:rsid w:val="00146163"/>
    <w:rsid w:val="00146E1B"/>
    <w:rsid w:val="0015118B"/>
    <w:rsid w:val="001540F6"/>
    <w:rsid w:val="00161573"/>
    <w:rsid w:val="001648BC"/>
    <w:rsid w:val="001671CE"/>
    <w:rsid w:val="001A1AF6"/>
    <w:rsid w:val="001A1CDC"/>
    <w:rsid w:val="001A3118"/>
    <w:rsid w:val="001A3372"/>
    <w:rsid w:val="001C1B2C"/>
    <w:rsid w:val="001C2DB7"/>
    <w:rsid w:val="001C3151"/>
    <w:rsid w:val="001D380A"/>
    <w:rsid w:val="001D4069"/>
    <w:rsid w:val="001E0D14"/>
    <w:rsid w:val="001E19B0"/>
    <w:rsid w:val="001F1F87"/>
    <w:rsid w:val="00202E28"/>
    <w:rsid w:val="0020459F"/>
    <w:rsid w:val="00206F02"/>
    <w:rsid w:val="00213CE9"/>
    <w:rsid w:val="00220F08"/>
    <w:rsid w:val="00225AAC"/>
    <w:rsid w:val="002267F5"/>
    <w:rsid w:val="0023255B"/>
    <w:rsid w:val="00235EF6"/>
    <w:rsid w:val="002375B4"/>
    <w:rsid w:val="0025421B"/>
    <w:rsid w:val="0026075A"/>
    <w:rsid w:val="002647A9"/>
    <w:rsid w:val="00276272"/>
    <w:rsid w:val="002801EA"/>
    <w:rsid w:val="00290110"/>
    <w:rsid w:val="002928C9"/>
    <w:rsid w:val="002A4326"/>
    <w:rsid w:val="002A7FC3"/>
    <w:rsid w:val="002B2D60"/>
    <w:rsid w:val="002C38DD"/>
    <w:rsid w:val="002E4807"/>
    <w:rsid w:val="0030248E"/>
    <w:rsid w:val="003036F3"/>
    <w:rsid w:val="00303CFC"/>
    <w:rsid w:val="003137FD"/>
    <w:rsid w:val="00315CD8"/>
    <w:rsid w:val="003215E5"/>
    <w:rsid w:val="00325418"/>
    <w:rsid w:val="0032747D"/>
    <w:rsid w:val="00331AE6"/>
    <w:rsid w:val="0033293B"/>
    <w:rsid w:val="00335FF3"/>
    <w:rsid w:val="003364DD"/>
    <w:rsid w:val="0034000A"/>
    <w:rsid w:val="00343990"/>
    <w:rsid w:val="00355666"/>
    <w:rsid w:val="00357280"/>
    <w:rsid w:val="00364719"/>
    <w:rsid w:val="00367DEF"/>
    <w:rsid w:val="00371229"/>
    <w:rsid w:val="00376163"/>
    <w:rsid w:val="003768EE"/>
    <w:rsid w:val="00377DA3"/>
    <w:rsid w:val="003805EE"/>
    <w:rsid w:val="00381618"/>
    <w:rsid w:val="003820B2"/>
    <w:rsid w:val="00390885"/>
    <w:rsid w:val="00392AC6"/>
    <w:rsid w:val="00395C37"/>
    <w:rsid w:val="003A0C2D"/>
    <w:rsid w:val="003A1E2B"/>
    <w:rsid w:val="003B7839"/>
    <w:rsid w:val="003C52A8"/>
    <w:rsid w:val="003E2601"/>
    <w:rsid w:val="003E265C"/>
    <w:rsid w:val="003F59CC"/>
    <w:rsid w:val="00422DD7"/>
    <w:rsid w:val="00423216"/>
    <w:rsid w:val="00427B73"/>
    <w:rsid w:val="004323BF"/>
    <w:rsid w:val="00440384"/>
    <w:rsid w:val="004442DB"/>
    <w:rsid w:val="004471B6"/>
    <w:rsid w:val="00447E30"/>
    <w:rsid w:val="004507CC"/>
    <w:rsid w:val="00453D39"/>
    <w:rsid w:val="0045568D"/>
    <w:rsid w:val="004556C5"/>
    <w:rsid w:val="0045738A"/>
    <w:rsid w:val="004600F1"/>
    <w:rsid w:val="00464F0D"/>
    <w:rsid w:val="0046668C"/>
    <w:rsid w:val="00467F52"/>
    <w:rsid w:val="004735D1"/>
    <w:rsid w:val="004845B9"/>
    <w:rsid w:val="00487E3C"/>
    <w:rsid w:val="00490011"/>
    <w:rsid w:val="00493104"/>
    <w:rsid w:val="00494100"/>
    <w:rsid w:val="004A4ED1"/>
    <w:rsid w:val="004B5F85"/>
    <w:rsid w:val="004C1028"/>
    <w:rsid w:val="004C109A"/>
    <w:rsid w:val="004C2D06"/>
    <w:rsid w:val="004C3C00"/>
    <w:rsid w:val="004C59D9"/>
    <w:rsid w:val="004C5D41"/>
    <w:rsid w:val="004C5E89"/>
    <w:rsid w:val="004D08EB"/>
    <w:rsid w:val="004D2528"/>
    <w:rsid w:val="004D5227"/>
    <w:rsid w:val="004E3E41"/>
    <w:rsid w:val="004F16B7"/>
    <w:rsid w:val="004F4146"/>
    <w:rsid w:val="004F721B"/>
    <w:rsid w:val="00506192"/>
    <w:rsid w:val="00524F90"/>
    <w:rsid w:val="00531B31"/>
    <w:rsid w:val="005354D4"/>
    <w:rsid w:val="00542AFE"/>
    <w:rsid w:val="00543FFF"/>
    <w:rsid w:val="00553277"/>
    <w:rsid w:val="005551C1"/>
    <w:rsid w:val="0056012C"/>
    <w:rsid w:val="00561C67"/>
    <w:rsid w:val="00563B0C"/>
    <w:rsid w:val="00566345"/>
    <w:rsid w:val="00572EB4"/>
    <w:rsid w:val="0059072F"/>
    <w:rsid w:val="005A3E02"/>
    <w:rsid w:val="005B3A8B"/>
    <w:rsid w:val="005B6D75"/>
    <w:rsid w:val="005C2A12"/>
    <w:rsid w:val="005E313D"/>
    <w:rsid w:val="005F4CF0"/>
    <w:rsid w:val="0061227A"/>
    <w:rsid w:val="00613694"/>
    <w:rsid w:val="00615322"/>
    <w:rsid w:val="0061749E"/>
    <w:rsid w:val="00620E9D"/>
    <w:rsid w:val="006256AE"/>
    <w:rsid w:val="00626EDF"/>
    <w:rsid w:val="00652597"/>
    <w:rsid w:val="00661350"/>
    <w:rsid w:val="00666E4D"/>
    <w:rsid w:val="006878E4"/>
    <w:rsid w:val="006921D4"/>
    <w:rsid w:val="006929AB"/>
    <w:rsid w:val="00694251"/>
    <w:rsid w:val="006A10B9"/>
    <w:rsid w:val="006A7252"/>
    <w:rsid w:val="006B7D5B"/>
    <w:rsid w:val="006C3469"/>
    <w:rsid w:val="006C404C"/>
    <w:rsid w:val="006C4881"/>
    <w:rsid w:val="006E266F"/>
    <w:rsid w:val="006E2EB7"/>
    <w:rsid w:val="006E3808"/>
    <w:rsid w:val="006F117A"/>
    <w:rsid w:val="006F4E5F"/>
    <w:rsid w:val="00712A9C"/>
    <w:rsid w:val="00713F75"/>
    <w:rsid w:val="00727494"/>
    <w:rsid w:val="00727EA5"/>
    <w:rsid w:val="007363E4"/>
    <w:rsid w:val="00741E24"/>
    <w:rsid w:val="0074451E"/>
    <w:rsid w:val="00751024"/>
    <w:rsid w:val="00771867"/>
    <w:rsid w:val="00772CE7"/>
    <w:rsid w:val="0077600A"/>
    <w:rsid w:val="0077662A"/>
    <w:rsid w:val="00786298"/>
    <w:rsid w:val="00791C9F"/>
    <w:rsid w:val="0079416D"/>
    <w:rsid w:val="007A2089"/>
    <w:rsid w:val="007A7920"/>
    <w:rsid w:val="007C48E4"/>
    <w:rsid w:val="007D1EF1"/>
    <w:rsid w:val="007D3DBF"/>
    <w:rsid w:val="007D6454"/>
    <w:rsid w:val="007E054A"/>
    <w:rsid w:val="007E258C"/>
    <w:rsid w:val="007E2E18"/>
    <w:rsid w:val="007F43FF"/>
    <w:rsid w:val="007F472B"/>
    <w:rsid w:val="007F5B66"/>
    <w:rsid w:val="007F758E"/>
    <w:rsid w:val="00805914"/>
    <w:rsid w:val="0080784E"/>
    <w:rsid w:val="0081023D"/>
    <w:rsid w:val="00813B47"/>
    <w:rsid w:val="00813C6A"/>
    <w:rsid w:val="00814A63"/>
    <w:rsid w:val="008234A3"/>
    <w:rsid w:val="008240D7"/>
    <w:rsid w:val="00825CC2"/>
    <w:rsid w:val="008333AC"/>
    <w:rsid w:val="0083603D"/>
    <w:rsid w:val="00840F5D"/>
    <w:rsid w:val="008437D5"/>
    <w:rsid w:val="00844336"/>
    <w:rsid w:val="00847D06"/>
    <w:rsid w:val="008507E1"/>
    <w:rsid w:val="00853207"/>
    <w:rsid w:val="00862A1E"/>
    <w:rsid w:val="00863EF3"/>
    <w:rsid w:val="008658E4"/>
    <w:rsid w:val="0087326B"/>
    <w:rsid w:val="00875386"/>
    <w:rsid w:val="0087541E"/>
    <w:rsid w:val="008820D3"/>
    <w:rsid w:val="008838CA"/>
    <w:rsid w:val="0088722D"/>
    <w:rsid w:val="00891285"/>
    <w:rsid w:val="008A32F4"/>
    <w:rsid w:val="008A50BB"/>
    <w:rsid w:val="008B28B0"/>
    <w:rsid w:val="008B3B8B"/>
    <w:rsid w:val="008C03A2"/>
    <w:rsid w:val="008C6619"/>
    <w:rsid w:val="008D17DA"/>
    <w:rsid w:val="008D4E93"/>
    <w:rsid w:val="008E1222"/>
    <w:rsid w:val="008E3034"/>
    <w:rsid w:val="008E34CA"/>
    <w:rsid w:val="008E7740"/>
    <w:rsid w:val="008F0FD2"/>
    <w:rsid w:val="008F3B1E"/>
    <w:rsid w:val="008F6725"/>
    <w:rsid w:val="008F6F96"/>
    <w:rsid w:val="0091207F"/>
    <w:rsid w:val="00913DB3"/>
    <w:rsid w:val="00916E5A"/>
    <w:rsid w:val="00917A8B"/>
    <w:rsid w:val="009263DF"/>
    <w:rsid w:val="009273A8"/>
    <w:rsid w:val="009341DF"/>
    <w:rsid w:val="00934EDC"/>
    <w:rsid w:val="00936691"/>
    <w:rsid w:val="00957D1B"/>
    <w:rsid w:val="00963B91"/>
    <w:rsid w:val="0096417C"/>
    <w:rsid w:val="009679B2"/>
    <w:rsid w:val="00997B85"/>
    <w:rsid w:val="009A42A9"/>
    <w:rsid w:val="009B3CC1"/>
    <w:rsid w:val="009B602E"/>
    <w:rsid w:val="009B6AF8"/>
    <w:rsid w:val="009C7DE7"/>
    <w:rsid w:val="009D12B6"/>
    <w:rsid w:val="009D4E4E"/>
    <w:rsid w:val="009E01FC"/>
    <w:rsid w:val="009E4059"/>
    <w:rsid w:val="009F07E5"/>
    <w:rsid w:val="00A07180"/>
    <w:rsid w:val="00A1495A"/>
    <w:rsid w:val="00A14D91"/>
    <w:rsid w:val="00A16FA7"/>
    <w:rsid w:val="00A25C87"/>
    <w:rsid w:val="00A30196"/>
    <w:rsid w:val="00A30FC3"/>
    <w:rsid w:val="00A31113"/>
    <w:rsid w:val="00A33EBB"/>
    <w:rsid w:val="00A42640"/>
    <w:rsid w:val="00A443AB"/>
    <w:rsid w:val="00A52707"/>
    <w:rsid w:val="00A528DE"/>
    <w:rsid w:val="00A52D78"/>
    <w:rsid w:val="00A5406C"/>
    <w:rsid w:val="00A56B71"/>
    <w:rsid w:val="00A64F56"/>
    <w:rsid w:val="00A76ECC"/>
    <w:rsid w:val="00A77CF0"/>
    <w:rsid w:val="00A83C4E"/>
    <w:rsid w:val="00A85375"/>
    <w:rsid w:val="00A86F4A"/>
    <w:rsid w:val="00A939EC"/>
    <w:rsid w:val="00AB2951"/>
    <w:rsid w:val="00AB3B43"/>
    <w:rsid w:val="00AB4A28"/>
    <w:rsid w:val="00AD2039"/>
    <w:rsid w:val="00AD2BAA"/>
    <w:rsid w:val="00AD40B7"/>
    <w:rsid w:val="00AD56C3"/>
    <w:rsid w:val="00AE560D"/>
    <w:rsid w:val="00AF212C"/>
    <w:rsid w:val="00AF3C63"/>
    <w:rsid w:val="00B0067E"/>
    <w:rsid w:val="00B10832"/>
    <w:rsid w:val="00B10D20"/>
    <w:rsid w:val="00B12C71"/>
    <w:rsid w:val="00B137DA"/>
    <w:rsid w:val="00B1698A"/>
    <w:rsid w:val="00B21F25"/>
    <w:rsid w:val="00B24193"/>
    <w:rsid w:val="00B25A71"/>
    <w:rsid w:val="00B314D0"/>
    <w:rsid w:val="00B40601"/>
    <w:rsid w:val="00B40AD1"/>
    <w:rsid w:val="00B607B8"/>
    <w:rsid w:val="00B61B74"/>
    <w:rsid w:val="00B63B85"/>
    <w:rsid w:val="00B64731"/>
    <w:rsid w:val="00B70344"/>
    <w:rsid w:val="00B809CA"/>
    <w:rsid w:val="00B86D89"/>
    <w:rsid w:val="00B873BC"/>
    <w:rsid w:val="00B96DBF"/>
    <w:rsid w:val="00BA50EC"/>
    <w:rsid w:val="00BA5E9C"/>
    <w:rsid w:val="00BA622F"/>
    <w:rsid w:val="00BA6FBB"/>
    <w:rsid w:val="00BB04F0"/>
    <w:rsid w:val="00BB2713"/>
    <w:rsid w:val="00BB3556"/>
    <w:rsid w:val="00BB4066"/>
    <w:rsid w:val="00BB7824"/>
    <w:rsid w:val="00BC0D18"/>
    <w:rsid w:val="00BE3A57"/>
    <w:rsid w:val="00BE66A8"/>
    <w:rsid w:val="00BF021B"/>
    <w:rsid w:val="00C01F8F"/>
    <w:rsid w:val="00C14515"/>
    <w:rsid w:val="00C3177F"/>
    <w:rsid w:val="00C362F4"/>
    <w:rsid w:val="00C43867"/>
    <w:rsid w:val="00C5386C"/>
    <w:rsid w:val="00C719A2"/>
    <w:rsid w:val="00C759A8"/>
    <w:rsid w:val="00C90278"/>
    <w:rsid w:val="00CC11D6"/>
    <w:rsid w:val="00CC2822"/>
    <w:rsid w:val="00CC7E22"/>
    <w:rsid w:val="00CD3463"/>
    <w:rsid w:val="00CE0406"/>
    <w:rsid w:val="00CE29BD"/>
    <w:rsid w:val="00CE5FF5"/>
    <w:rsid w:val="00CE7950"/>
    <w:rsid w:val="00CF14CE"/>
    <w:rsid w:val="00CF1710"/>
    <w:rsid w:val="00CF401C"/>
    <w:rsid w:val="00CF4350"/>
    <w:rsid w:val="00D01BC3"/>
    <w:rsid w:val="00D02C6A"/>
    <w:rsid w:val="00D173C2"/>
    <w:rsid w:val="00D263DF"/>
    <w:rsid w:val="00D35AF9"/>
    <w:rsid w:val="00D41797"/>
    <w:rsid w:val="00D44132"/>
    <w:rsid w:val="00D520AF"/>
    <w:rsid w:val="00D54152"/>
    <w:rsid w:val="00D615A1"/>
    <w:rsid w:val="00D66485"/>
    <w:rsid w:val="00D7333A"/>
    <w:rsid w:val="00D81FD9"/>
    <w:rsid w:val="00D8383D"/>
    <w:rsid w:val="00D934C5"/>
    <w:rsid w:val="00D97439"/>
    <w:rsid w:val="00D9771A"/>
    <w:rsid w:val="00DB478C"/>
    <w:rsid w:val="00DB7BD1"/>
    <w:rsid w:val="00DC3A0B"/>
    <w:rsid w:val="00DD2F35"/>
    <w:rsid w:val="00DE23BE"/>
    <w:rsid w:val="00DE62B7"/>
    <w:rsid w:val="00DF069E"/>
    <w:rsid w:val="00E0280B"/>
    <w:rsid w:val="00E06A25"/>
    <w:rsid w:val="00E10ADD"/>
    <w:rsid w:val="00E10D11"/>
    <w:rsid w:val="00E13AFB"/>
    <w:rsid w:val="00E22C95"/>
    <w:rsid w:val="00E22F0B"/>
    <w:rsid w:val="00E5476D"/>
    <w:rsid w:val="00E55525"/>
    <w:rsid w:val="00E60741"/>
    <w:rsid w:val="00E64429"/>
    <w:rsid w:val="00E660E0"/>
    <w:rsid w:val="00E679C5"/>
    <w:rsid w:val="00E70469"/>
    <w:rsid w:val="00E714AB"/>
    <w:rsid w:val="00E743AF"/>
    <w:rsid w:val="00E846DE"/>
    <w:rsid w:val="00E86549"/>
    <w:rsid w:val="00E92800"/>
    <w:rsid w:val="00E96DEC"/>
    <w:rsid w:val="00EA3ED4"/>
    <w:rsid w:val="00EA48F3"/>
    <w:rsid w:val="00EB1DFA"/>
    <w:rsid w:val="00EB5604"/>
    <w:rsid w:val="00EC5378"/>
    <w:rsid w:val="00EC556D"/>
    <w:rsid w:val="00EC7CAF"/>
    <w:rsid w:val="00ED5C83"/>
    <w:rsid w:val="00EE08FB"/>
    <w:rsid w:val="00EE3C79"/>
    <w:rsid w:val="00EF0199"/>
    <w:rsid w:val="00EF3CE1"/>
    <w:rsid w:val="00EF481F"/>
    <w:rsid w:val="00EF670B"/>
    <w:rsid w:val="00EF6F14"/>
    <w:rsid w:val="00EF76B2"/>
    <w:rsid w:val="00EF7CCD"/>
    <w:rsid w:val="00F01793"/>
    <w:rsid w:val="00F12405"/>
    <w:rsid w:val="00F21312"/>
    <w:rsid w:val="00F263EF"/>
    <w:rsid w:val="00F32AAE"/>
    <w:rsid w:val="00F34192"/>
    <w:rsid w:val="00F46DC3"/>
    <w:rsid w:val="00F500A7"/>
    <w:rsid w:val="00F53F60"/>
    <w:rsid w:val="00F75247"/>
    <w:rsid w:val="00F81754"/>
    <w:rsid w:val="00F852C1"/>
    <w:rsid w:val="00FA7C5A"/>
    <w:rsid w:val="00FB3443"/>
    <w:rsid w:val="00FC372F"/>
    <w:rsid w:val="00FD1FEF"/>
    <w:rsid w:val="00FE456A"/>
    <w:rsid w:val="00FF15CD"/>
    <w:rsid w:val="00FF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E1F82B"/>
  <w15:chartTrackingRefBased/>
  <w15:docId w15:val="{FB83AC51-8B61-491E-87B7-7140BC91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6525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6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63E4"/>
  </w:style>
  <w:style w:type="paragraph" w:styleId="Pieddepage">
    <w:name w:val="footer"/>
    <w:basedOn w:val="Normal"/>
    <w:link w:val="PieddepageCar"/>
    <w:uiPriority w:val="99"/>
    <w:unhideWhenUsed/>
    <w:rsid w:val="007363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63E4"/>
  </w:style>
  <w:style w:type="paragraph" w:customStyle="1" w:styleId="Contenu">
    <w:name w:val="Contenu"/>
    <w:basedOn w:val="Normal"/>
    <w:link w:val="Caractredecontenu"/>
    <w:qFormat/>
    <w:rsid w:val="004845B9"/>
    <w:pPr>
      <w:spacing w:after="0" w:line="276" w:lineRule="auto"/>
    </w:pPr>
    <w:rPr>
      <w:rFonts w:eastAsiaTheme="minorEastAsia"/>
      <w:color w:val="44546A" w:themeColor="text2"/>
      <w:sz w:val="28"/>
    </w:rPr>
  </w:style>
  <w:style w:type="character" w:customStyle="1" w:styleId="Caractredecontenu">
    <w:name w:val="Caractère de contenu"/>
    <w:basedOn w:val="Policepardfaut"/>
    <w:link w:val="Contenu"/>
    <w:rsid w:val="004845B9"/>
    <w:rPr>
      <w:rFonts w:eastAsiaTheme="minorEastAsia"/>
      <w:color w:val="44546A" w:themeColor="text2"/>
      <w:sz w:val="28"/>
    </w:rPr>
  </w:style>
  <w:style w:type="paragraph" w:styleId="Paragraphedeliste">
    <w:name w:val="List Paragraph"/>
    <w:basedOn w:val="Normal"/>
    <w:uiPriority w:val="34"/>
    <w:qFormat/>
    <w:rsid w:val="00B25A71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33293B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33293B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61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52597"/>
    <w:rPr>
      <w:rFonts w:ascii="Times New Roman" w:eastAsia="Times New Roman" w:hAnsi="Times New Roman" w:cs="Times New Roman"/>
      <w:b/>
      <w:bCs/>
      <w:sz w:val="36"/>
      <w:szCs w:val="3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8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1480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sitbon</dc:creator>
  <cp:keywords/>
  <dc:description/>
  <cp:lastModifiedBy>david sitbon</cp:lastModifiedBy>
  <cp:revision>2</cp:revision>
  <cp:lastPrinted>2021-02-11T08:16:00Z</cp:lastPrinted>
  <dcterms:created xsi:type="dcterms:W3CDTF">2022-03-29T09:52:00Z</dcterms:created>
  <dcterms:modified xsi:type="dcterms:W3CDTF">2022-03-29T09:52:00Z</dcterms:modified>
</cp:coreProperties>
</file>